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D57" w:rsidRDefault="00D01073" w:rsidP="0071559E">
      <w:pPr>
        <w:tabs>
          <w:tab w:val="left" w:pos="709"/>
        </w:tabs>
      </w:pPr>
      <w:r>
        <w:rPr>
          <w:noProof/>
          <w:lang w:val="tr-TR" w:eastAsia="tr-TR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1042.75pt;margin-top:726.55pt;width:51pt;height:28.8pt;z-index:251659264" stroked="f">
            <v:textbox>
              <w:txbxContent>
                <w:p w:rsidR="001B143C" w:rsidRPr="001B143C" w:rsidRDefault="00A3744D">
                  <w:pPr>
                    <w:rPr>
                      <w:rFonts w:ascii="Times New Roman" w:hAnsi="Times New Roman"/>
                      <w:lang w:val="tr-TR"/>
                    </w:rPr>
                  </w:pPr>
                  <w:r>
                    <w:rPr>
                      <w:rFonts w:ascii="Times New Roman" w:hAnsi="Times New Roman"/>
                      <w:lang w:val="tr-TR"/>
                    </w:rPr>
                    <w:t>8</w:t>
                  </w:r>
                </w:p>
              </w:txbxContent>
            </v:textbox>
          </v:shape>
        </w:pict>
      </w:r>
      <w:r>
        <w:rPr>
          <w:noProof/>
          <w:lang w:val="tr-TR" w:eastAsia="tr-TR" w:bidi="ar-SA"/>
        </w:rPr>
        <w:pict>
          <v:shape id="Text Box 2" o:spid="_x0000_s1026" type="#_x0000_t202" style="position:absolute;margin-left:-9.65pt;margin-top:557.35pt;width:589.2pt;height:114.6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" stroked="f">
            <v:textbox>
              <w:txbxContent>
                <w:p w:rsidR="007F0D3E" w:rsidRPr="001B143C" w:rsidRDefault="007F0D3E" w:rsidP="00D44677">
                  <w:pPr>
                    <w:rPr>
                      <w:rFonts w:ascii="Times New Roman" w:hAnsi="Times New Roman"/>
                      <w:b/>
                      <w:sz w:val="20"/>
                      <w:szCs w:val="20"/>
                      <w:lang w:val="tr-TR"/>
                    </w:rPr>
                  </w:pPr>
                </w:p>
                <w:p w:rsidR="007F0D3E" w:rsidRPr="001B143C" w:rsidRDefault="007F0D3E" w:rsidP="00CB0136">
                  <w:pPr>
                    <w:pStyle w:val="ListeParagraf"/>
                    <w:rPr>
                      <w:rFonts w:ascii="Times New Roman" w:hAnsi="Times New Roman"/>
                      <w:b/>
                      <w:sz w:val="20"/>
                      <w:szCs w:val="20"/>
                      <w:lang w:val="tr-TR"/>
                    </w:rPr>
                  </w:pPr>
                  <w:r w:rsidRPr="001B143C">
                    <w:rPr>
                      <w:rFonts w:ascii="Times New Roman" w:hAnsi="Times New Roman"/>
                      <w:b/>
                      <w:sz w:val="20"/>
                      <w:szCs w:val="20"/>
                      <w:lang w:val="tr-TR"/>
                    </w:rPr>
                    <w:t>ÖNERİLER</w:t>
                  </w:r>
                </w:p>
                <w:p w:rsidR="007F0D3E" w:rsidRPr="001B143C" w:rsidRDefault="007F0D3E" w:rsidP="00D44677">
                  <w:pPr>
                    <w:pStyle w:val="ListeParagraf"/>
                    <w:numPr>
                      <w:ilvl w:val="0"/>
                      <w:numId w:val="1"/>
                    </w:numPr>
                    <w:rPr>
                      <w:rFonts w:ascii="Times New Roman" w:hAnsi="Times New Roman"/>
                      <w:sz w:val="20"/>
                      <w:szCs w:val="20"/>
                      <w:lang w:val="tr-TR"/>
                    </w:rPr>
                  </w:pPr>
                  <w:r w:rsidRPr="001B143C">
                    <w:rPr>
                      <w:rFonts w:ascii="Times New Roman" w:hAnsi="Times New Roman"/>
                      <w:sz w:val="20"/>
                      <w:szCs w:val="20"/>
                      <w:lang w:val="tr-TR"/>
                    </w:rPr>
                    <w:t>Arsa pa</w:t>
                  </w:r>
                  <w:r w:rsidR="00F40671" w:rsidRPr="001B143C">
                    <w:rPr>
                      <w:rFonts w:ascii="Times New Roman" w:hAnsi="Times New Roman"/>
                      <w:sz w:val="20"/>
                      <w:szCs w:val="20"/>
                      <w:lang w:val="tr-TR"/>
                    </w:rPr>
                    <w:t>yı söz konusu olmaksızın</w:t>
                  </w:r>
                  <w:r w:rsidRPr="001B143C">
                    <w:rPr>
                      <w:rFonts w:ascii="Times New Roman" w:hAnsi="Times New Roman"/>
                      <w:sz w:val="20"/>
                      <w:szCs w:val="20"/>
                      <w:lang w:val="tr-TR"/>
                    </w:rPr>
                    <w:t xml:space="preserve"> MK m. 692 hükmünce 2/3 </w:t>
                  </w:r>
                  <w:r w:rsidR="009D41E8" w:rsidRPr="001B143C">
                    <w:rPr>
                      <w:rFonts w:ascii="Times New Roman" w:hAnsi="Times New Roman"/>
                      <w:sz w:val="20"/>
                      <w:szCs w:val="20"/>
                      <w:lang w:val="tr-TR"/>
                    </w:rPr>
                    <w:t xml:space="preserve">paydaş </w:t>
                  </w:r>
                  <w:r w:rsidRPr="001B143C">
                    <w:rPr>
                      <w:rFonts w:ascii="Times New Roman" w:hAnsi="Times New Roman"/>
                      <w:sz w:val="20"/>
                      <w:szCs w:val="20"/>
                      <w:lang w:val="tr-TR"/>
                    </w:rPr>
                    <w:t xml:space="preserve">çoğunluğun elde ederek hâlihazır kat maliklerinin </w:t>
                  </w:r>
                  <w:r w:rsidR="001B143C" w:rsidRPr="001B143C">
                    <w:rPr>
                      <w:rFonts w:ascii="Times New Roman" w:hAnsi="Times New Roman"/>
                      <w:sz w:val="20"/>
                      <w:szCs w:val="20"/>
                      <w:lang w:val="tr-TR"/>
                    </w:rPr>
                    <w:t xml:space="preserve">eser </w:t>
                  </w:r>
                  <w:r w:rsidRPr="001B143C">
                    <w:rPr>
                      <w:rFonts w:ascii="Times New Roman" w:hAnsi="Times New Roman"/>
                      <w:sz w:val="20"/>
                      <w:szCs w:val="20"/>
                      <w:lang w:val="tr-TR"/>
                    </w:rPr>
                    <w:t>(</w:t>
                  </w:r>
                  <w:r w:rsidR="001B143C" w:rsidRPr="001B143C">
                    <w:rPr>
                      <w:rFonts w:ascii="Times New Roman" w:hAnsi="Times New Roman"/>
                      <w:sz w:val="20"/>
                      <w:szCs w:val="20"/>
                      <w:lang w:val="tr-TR"/>
                    </w:rPr>
                    <w:t>istisna</w:t>
                  </w:r>
                  <w:r w:rsidRPr="001B143C">
                    <w:rPr>
                      <w:rFonts w:ascii="Times New Roman" w:hAnsi="Times New Roman"/>
                      <w:sz w:val="20"/>
                      <w:szCs w:val="20"/>
                      <w:lang w:val="tr-TR"/>
                    </w:rPr>
                    <w:t xml:space="preserve">) </w:t>
                  </w:r>
                  <w:r w:rsidR="001B143C">
                    <w:rPr>
                      <w:rFonts w:ascii="Times New Roman" w:hAnsi="Times New Roman"/>
                      <w:sz w:val="20"/>
                      <w:szCs w:val="20"/>
                      <w:lang w:val="tr-TR"/>
                    </w:rPr>
                    <w:t>sözleşmesi</w:t>
                  </w:r>
                  <w:r w:rsidRPr="001B143C">
                    <w:rPr>
                      <w:rFonts w:ascii="Times New Roman" w:hAnsi="Times New Roman"/>
                      <w:sz w:val="20"/>
                      <w:szCs w:val="20"/>
                      <w:lang w:val="tr-TR"/>
                    </w:rPr>
                    <w:t xml:space="preserve"> ile anlaşması </w:t>
                  </w:r>
                  <w:r w:rsidR="009D41E8" w:rsidRPr="001B143C">
                    <w:rPr>
                      <w:rFonts w:ascii="Times New Roman" w:hAnsi="Times New Roman"/>
                      <w:sz w:val="20"/>
                      <w:szCs w:val="20"/>
                      <w:lang w:val="tr-TR"/>
                    </w:rPr>
                    <w:t>açık artırma sonrası diğer kat maliklerini bağlar hükmü getirilmelidir. Devlet desteği anlamında</w:t>
                  </w:r>
                  <w:r w:rsidRPr="001B143C">
                    <w:rPr>
                      <w:rFonts w:ascii="Times New Roman" w:hAnsi="Times New Roman"/>
                      <w:sz w:val="20"/>
                      <w:szCs w:val="20"/>
                      <w:lang w:val="tr-TR"/>
                    </w:rPr>
                    <w:t xml:space="preserve"> 6281 sayılı 1983 yılı yasasında olduğu gibi KDV muafiyeti tapu harç muafiyeti ve </w:t>
                  </w:r>
                  <w:proofErr w:type="spellStart"/>
                  <w:r w:rsidRPr="001B143C">
                    <w:rPr>
                      <w:rFonts w:ascii="Times New Roman" w:hAnsi="Times New Roman"/>
                      <w:sz w:val="20"/>
                      <w:szCs w:val="20"/>
                      <w:lang w:val="tr-TR"/>
                    </w:rPr>
                    <w:t>mortgage</w:t>
                  </w:r>
                  <w:proofErr w:type="spellEnd"/>
                  <w:r w:rsidRPr="001B143C">
                    <w:rPr>
                      <w:rFonts w:ascii="Times New Roman" w:hAnsi="Times New Roman"/>
                      <w:sz w:val="20"/>
                      <w:szCs w:val="20"/>
                      <w:lang w:val="tr-TR"/>
                    </w:rPr>
                    <w:t xml:space="preserve"> kredisinde faizin gelir vergisinden indirim yolu ile destek mutlaka söz konusu olmalıdır. </w:t>
                  </w:r>
                </w:p>
                <w:p w:rsidR="007F0D3E" w:rsidRPr="001B143C" w:rsidRDefault="007F0D3E" w:rsidP="00CB0136">
                  <w:pPr>
                    <w:pStyle w:val="ListeParagraf"/>
                    <w:numPr>
                      <w:ilvl w:val="0"/>
                      <w:numId w:val="1"/>
                    </w:numPr>
                    <w:rPr>
                      <w:rFonts w:ascii="Times New Roman" w:hAnsi="Times New Roman"/>
                      <w:sz w:val="20"/>
                      <w:szCs w:val="20"/>
                      <w:lang w:val="tr-TR"/>
                    </w:rPr>
                  </w:pPr>
                  <w:r w:rsidRPr="001B143C">
                    <w:rPr>
                      <w:rFonts w:ascii="Times New Roman" w:hAnsi="Times New Roman"/>
                      <w:sz w:val="20"/>
                      <w:szCs w:val="20"/>
                      <w:lang w:val="tr-TR"/>
                    </w:rPr>
                    <w:t>Yüklenicinin gayrimenkul sertifikası ihracında kolaylıklar getirmelidir. Teminat mektubu zorunluluğu gözden geçirilmeli/bazı fi</w:t>
                  </w:r>
                  <w:r w:rsidR="009D41E8" w:rsidRPr="001B143C">
                    <w:rPr>
                      <w:rFonts w:ascii="Times New Roman" w:hAnsi="Times New Roman"/>
                      <w:sz w:val="20"/>
                      <w:szCs w:val="20"/>
                      <w:lang w:val="tr-TR"/>
                    </w:rPr>
                    <w:t>rmalar için yumuşatılmalı/devlet</w:t>
                  </w:r>
                  <w:r w:rsidRPr="001B143C">
                    <w:rPr>
                      <w:rFonts w:ascii="Times New Roman" w:hAnsi="Times New Roman"/>
                      <w:sz w:val="20"/>
                      <w:szCs w:val="20"/>
                      <w:lang w:val="tr-TR"/>
                    </w:rPr>
                    <w:t xml:space="preserve"> bankaların</w:t>
                  </w:r>
                  <w:r w:rsidR="009D41E8" w:rsidRPr="001B143C">
                    <w:rPr>
                      <w:rFonts w:ascii="Times New Roman" w:hAnsi="Times New Roman"/>
                      <w:sz w:val="20"/>
                      <w:szCs w:val="20"/>
                      <w:lang w:val="tr-TR"/>
                    </w:rPr>
                    <w:t>ın</w:t>
                  </w:r>
                  <w:r w:rsidRPr="001B143C">
                    <w:rPr>
                      <w:rFonts w:ascii="Times New Roman" w:hAnsi="Times New Roman"/>
                      <w:sz w:val="20"/>
                      <w:szCs w:val="20"/>
                      <w:lang w:val="tr-TR"/>
                    </w:rPr>
                    <w:t xml:space="preserve"> 6306 uygulamalarında komisyonları düşürülmelidir.</w:t>
                  </w:r>
                </w:p>
                <w:p w:rsidR="007F0D3E" w:rsidRPr="001B143C" w:rsidRDefault="007F0D3E" w:rsidP="00CB0136">
                  <w:pPr>
                    <w:pStyle w:val="ListeParagraf"/>
                    <w:numPr>
                      <w:ilvl w:val="0"/>
                      <w:numId w:val="1"/>
                    </w:numPr>
                    <w:rPr>
                      <w:rFonts w:ascii="Times New Roman" w:hAnsi="Times New Roman"/>
                      <w:sz w:val="20"/>
                      <w:szCs w:val="20"/>
                      <w:lang w:val="tr-TR"/>
                    </w:rPr>
                  </w:pPr>
                  <w:r w:rsidRPr="001B143C">
                    <w:rPr>
                      <w:rFonts w:ascii="Times New Roman" w:hAnsi="Times New Roman"/>
                      <w:sz w:val="20"/>
                      <w:szCs w:val="20"/>
                      <w:lang w:val="tr-TR"/>
                    </w:rPr>
                    <w:t xml:space="preserve">Garantörlük hizmetleri A. Ş. Hizmete sokulmalı yabancıya satış ve KDV iadesi gözden geçirilmelidir. </w:t>
                  </w:r>
                </w:p>
              </w:txbxContent>
            </v:textbox>
          </v:shape>
        </w:pict>
      </w:r>
      <w:bookmarkStart w:id="0" w:name="_GoBack"/>
      <w:r w:rsidR="00CD6B0D">
        <w:rPr>
          <w:noProof/>
          <w:lang w:val="tr-TR" w:eastAsia="tr-TR" w:bidi="ar-SA"/>
        </w:rPr>
        <w:drawing>
          <wp:inline distT="0" distB="0" distL="0" distR="0">
            <wp:extent cx="13944600" cy="9547860"/>
            <wp:effectExtent l="0" t="0" r="0" b="0"/>
            <wp:docPr id="1" name="Diy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  <w:bookmarkEnd w:id="0"/>
    </w:p>
    <w:sectPr w:rsidR="00142D57" w:rsidSect="00CD6B0D">
      <w:pgSz w:w="23814" w:h="16839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943282"/>
    <w:multiLevelType w:val="hybridMultilevel"/>
    <w:tmpl w:val="B19672E4"/>
    <w:lvl w:ilvl="0" w:tplc="02BC30A2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D6B0D"/>
    <w:rsid w:val="000002E5"/>
    <w:rsid w:val="0003774B"/>
    <w:rsid w:val="00057F6B"/>
    <w:rsid w:val="0009629B"/>
    <w:rsid w:val="000D2332"/>
    <w:rsid w:val="000E6CBB"/>
    <w:rsid w:val="00142D57"/>
    <w:rsid w:val="001B143C"/>
    <w:rsid w:val="001C2231"/>
    <w:rsid w:val="0021239A"/>
    <w:rsid w:val="00252C9D"/>
    <w:rsid w:val="00256027"/>
    <w:rsid w:val="002C0142"/>
    <w:rsid w:val="002D42AC"/>
    <w:rsid w:val="00340644"/>
    <w:rsid w:val="00356667"/>
    <w:rsid w:val="00386E2E"/>
    <w:rsid w:val="003951B7"/>
    <w:rsid w:val="003A4E47"/>
    <w:rsid w:val="003B5E64"/>
    <w:rsid w:val="003F5C5C"/>
    <w:rsid w:val="00417781"/>
    <w:rsid w:val="00471399"/>
    <w:rsid w:val="00593BB1"/>
    <w:rsid w:val="00595CEF"/>
    <w:rsid w:val="00606634"/>
    <w:rsid w:val="00660CE8"/>
    <w:rsid w:val="00676116"/>
    <w:rsid w:val="006C3E0B"/>
    <w:rsid w:val="006F0330"/>
    <w:rsid w:val="00700870"/>
    <w:rsid w:val="00710167"/>
    <w:rsid w:val="0071559E"/>
    <w:rsid w:val="007D4A4E"/>
    <w:rsid w:val="007F0D3E"/>
    <w:rsid w:val="008017A8"/>
    <w:rsid w:val="00806C34"/>
    <w:rsid w:val="008640E4"/>
    <w:rsid w:val="009A3E7C"/>
    <w:rsid w:val="009C140E"/>
    <w:rsid w:val="009D41E8"/>
    <w:rsid w:val="00A3744D"/>
    <w:rsid w:val="00A5680D"/>
    <w:rsid w:val="00A748C7"/>
    <w:rsid w:val="00AE4338"/>
    <w:rsid w:val="00AF4DEB"/>
    <w:rsid w:val="00BD414D"/>
    <w:rsid w:val="00C11A14"/>
    <w:rsid w:val="00C34E75"/>
    <w:rsid w:val="00C50902"/>
    <w:rsid w:val="00CB0136"/>
    <w:rsid w:val="00CD6B0D"/>
    <w:rsid w:val="00D01073"/>
    <w:rsid w:val="00D350F5"/>
    <w:rsid w:val="00D44677"/>
    <w:rsid w:val="00D555F3"/>
    <w:rsid w:val="00D72161"/>
    <w:rsid w:val="00D87A78"/>
    <w:rsid w:val="00DA3B7F"/>
    <w:rsid w:val="00DB7D09"/>
    <w:rsid w:val="00DD453E"/>
    <w:rsid w:val="00E04472"/>
    <w:rsid w:val="00E3646B"/>
    <w:rsid w:val="00E56F21"/>
    <w:rsid w:val="00E9476D"/>
    <w:rsid w:val="00EE31A3"/>
    <w:rsid w:val="00EF1AE5"/>
    <w:rsid w:val="00F100C2"/>
    <w:rsid w:val="00F40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140E"/>
    <w:pPr>
      <w:spacing w:after="0" w:line="240" w:lineRule="auto"/>
    </w:pPr>
    <w:rPr>
      <w:sz w:val="24"/>
      <w:szCs w:val="24"/>
    </w:rPr>
  </w:style>
  <w:style w:type="paragraph" w:styleId="Balk1">
    <w:name w:val="heading 1"/>
    <w:basedOn w:val="Normal"/>
    <w:next w:val="Normal"/>
    <w:link w:val="Balk1Char"/>
    <w:uiPriority w:val="9"/>
    <w:qFormat/>
    <w:rsid w:val="009C140E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C140E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C140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C140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C140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C140E"/>
    <w:pPr>
      <w:spacing w:before="240" w:after="60"/>
      <w:outlineLvl w:val="5"/>
    </w:pPr>
    <w:rPr>
      <w:b/>
      <w:bCs/>
      <w:sz w:val="22"/>
      <w:szCs w:val="22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C140E"/>
    <w:pPr>
      <w:spacing w:before="240" w:after="60"/>
      <w:outlineLvl w:val="6"/>
    </w:p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C140E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C140E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C140E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C140E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C140E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Balk4Char">
    <w:name w:val="Başlık 4 Char"/>
    <w:basedOn w:val="VarsaylanParagrafYazTipi"/>
    <w:link w:val="Balk4"/>
    <w:uiPriority w:val="9"/>
    <w:rsid w:val="009C140E"/>
    <w:rPr>
      <w:b/>
      <w:bCs/>
      <w:sz w:val="28"/>
      <w:szCs w:val="28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C140E"/>
    <w:rPr>
      <w:b/>
      <w:bCs/>
      <w:i/>
      <w:iCs/>
      <w:sz w:val="26"/>
      <w:szCs w:val="26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C140E"/>
    <w:rPr>
      <w:b/>
      <w:bCs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C140E"/>
    <w:rPr>
      <w:sz w:val="24"/>
      <w:szCs w:val="24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C140E"/>
    <w:rPr>
      <w:i/>
      <w:iCs/>
      <w:sz w:val="24"/>
      <w:szCs w:val="24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C140E"/>
    <w:rPr>
      <w:rFonts w:asciiTheme="majorHAnsi" w:eastAsiaTheme="majorEastAsia" w:hAnsiTheme="majorHAnsi"/>
    </w:rPr>
  </w:style>
  <w:style w:type="paragraph" w:styleId="KonuBal">
    <w:name w:val="Title"/>
    <w:basedOn w:val="Normal"/>
    <w:next w:val="Normal"/>
    <w:link w:val="KonuBalChar"/>
    <w:uiPriority w:val="10"/>
    <w:qFormat/>
    <w:rsid w:val="009C140E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C140E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ltKonuBal">
    <w:name w:val="Subtitle"/>
    <w:basedOn w:val="Normal"/>
    <w:next w:val="Normal"/>
    <w:link w:val="AltKonuBalChar"/>
    <w:uiPriority w:val="11"/>
    <w:qFormat/>
    <w:rsid w:val="009C140E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ltKonuBalChar">
    <w:name w:val="Alt Konu Başlığı Char"/>
    <w:basedOn w:val="VarsaylanParagrafYazTipi"/>
    <w:link w:val="AltKonuBal"/>
    <w:uiPriority w:val="11"/>
    <w:rsid w:val="009C140E"/>
    <w:rPr>
      <w:rFonts w:asciiTheme="majorHAnsi" w:eastAsiaTheme="majorEastAsia" w:hAnsiTheme="majorHAnsi"/>
      <w:sz w:val="24"/>
      <w:szCs w:val="24"/>
    </w:rPr>
  </w:style>
  <w:style w:type="character" w:styleId="Gl">
    <w:name w:val="Strong"/>
    <w:basedOn w:val="VarsaylanParagrafYazTipi"/>
    <w:uiPriority w:val="22"/>
    <w:qFormat/>
    <w:rsid w:val="009C140E"/>
    <w:rPr>
      <w:b/>
      <w:bCs/>
    </w:rPr>
  </w:style>
  <w:style w:type="character" w:styleId="Vurgu">
    <w:name w:val="Emphasis"/>
    <w:basedOn w:val="VarsaylanParagrafYazTipi"/>
    <w:uiPriority w:val="20"/>
    <w:qFormat/>
    <w:rsid w:val="009C140E"/>
    <w:rPr>
      <w:rFonts w:asciiTheme="minorHAnsi" w:hAnsiTheme="minorHAnsi"/>
      <w:b/>
      <w:i/>
      <w:iCs/>
    </w:rPr>
  </w:style>
  <w:style w:type="paragraph" w:styleId="AralkYok">
    <w:name w:val="No Spacing"/>
    <w:basedOn w:val="Normal"/>
    <w:uiPriority w:val="1"/>
    <w:qFormat/>
    <w:rsid w:val="009C140E"/>
    <w:rPr>
      <w:szCs w:val="32"/>
    </w:rPr>
  </w:style>
  <w:style w:type="paragraph" w:styleId="ListeParagraf">
    <w:name w:val="List Paragraph"/>
    <w:basedOn w:val="Normal"/>
    <w:uiPriority w:val="34"/>
    <w:qFormat/>
    <w:rsid w:val="009C140E"/>
    <w:pPr>
      <w:ind w:left="720"/>
      <w:contextualSpacing/>
    </w:pPr>
  </w:style>
  <w:style w:type="paragraph" w:styleId="Trnak">
    <w:name w:val="Quote"/>
    <w:basedOn w:val="Normal"/>
    <w:next w:val="Normal"/>
    <w:link w:val="TrnakChar"/>
    <w:uiPriority w:val="29"/>
    <w:qFormat/>
    <w:rsid w:val="009C140E"/>
    <w:rPr>
      <w:i/>
    </w:rPr>
  </w:style>
  <w:style w:type="character" w:customStyle="1" w:styleId="TrnakChar">
    <w:name w:val="Tırnak Char"/>
    <w:basedOn w:val="VarsaylanParagrafYazTipi"/>
    <w:link w:val="Trnak"/>
    <w:uiPriority w:val="29"/>
    <w:rsid w:val="009C140E"/>
    <w:rPr>
      <w:i/>
      <w:sz w:val="24"/>
      <w:szCs w:val="24"/>
    </w:rPr>
  </w:style>
  <w:style w:type="paragraph" w:styleId="KeskinTrnak">
    <w:name w:val="Intense Quote"/>
    <w:basedOn w:val="Normal"/>
    <w:next w:val="Normal"/>
    <w:link w:val="KeskinTrnakChar"/>
    <w:uiPriority w:val="30"/>
    <w:qFormat/>
    <w:rsid w:val="009C140E"/>
    <w:pPr>
      <w:ind w:left="720" w:right="720"/>
    </w:pPr>
    <w:rPr>
      <w:b/>
      <w:i/>
      <w:szCs w:val="22"/>
    </w:rPr>
  </w:style>
  <w:style w:type="character" w:customStyle="1" w:styleId="KeskinTrnakChar">
    <w:name w:val="Keskin Tırnak Char"/>
    <w:basedOn w:val="VarsaylanParagrafYazTipi"/>
    <w:link w:val="KeskinTrnak"/>
    <w:uiPriority w:val="30"/>
    <w:rsid w:val="009C140E"/>
    <w:rPr>
      <w:b/>
      <w:i/>
      <w:sz w:val="24"/>
    </w:rPr>
  </w:style>
  <w:style w:type="character" w:styleId="HafifVurgulama">
    <w:name w:val="Subtle Emphasis"/>
    <w:uiPriority w:val="19"/>
    <w:qFormat/>
    <w:rsid w:val="009C140E"/>
    <w:rPr>
      <w:i/>
      <w:color w:val="5A5A5A" w:themeColor="text1" w:themeTint="A5"/>
    </w:rPr>
  </w:style>
  <w:style w:type="character" w:styleId="GlVurgulama">
    <w:name w:val="Intense Emphasis"/>
    <w:basedOn w:val="VarsaylanParagrafYazTipi"/>
    <w:uiPriority w:val="21"/>
    <w:qFormat/>
    <w:rsid w:val="009C140E"/>
    <w:rPr>
      <w:b/>
      <w:i/>
      <w:sz w:val="24"/>
      <w:szCs w:val="24"/>
      <w:u w:val="single"/>
    </w:rPr>
  </w:style>
  <w:style w:type="character" w:styleId="HafifBavuru">
    <w:name w:val="Subtle Reference"/>
    <w:basedOn w:val="VarsaylanParagrafYazTipi"/>
    <w:uiPriority w:val="31"/>
    <w:qFormat/>
    <w:rsid w:val="009C140E"/>
    <w:rPr>
      <w:sz w:val="24"/>
      <w:szCs w:val="24"/>
      <w:u w:val="single"/>
    </w:rPr>
  </w:style>
  <w:style w:type="character" w:styleId="GlBavuru">
    <w:name w:val="Intense Reference"/>
    <w:basedOn w:val="VarsaylanParagrafYazTipi"/>
    <w:uiPriority w:val="32"/>
    <w:qFormat/>
    <w:rsid w:val="009C140E"/>
    <w:rPr>
      <w:b/>
      <w:sz w:val="24"/>
      <w:u w:val="single"/>
    </w:rPr>
  </w:style>
  <w:style w:type="character" w:styleId="KitapBal">
    <w:name w:val="Book Title"/>
    <w:basedOn w:val="VarsaylanParagrafYazTipi"/>
    <w:uiPriority w:val="33"/>
    <w:qFormat/>
    <w:rsid w:val="009C140E"/>
    <w:rPr>
      <w:rFonts w:asciiTheme="majorHAnsi" w:eastAsiaTheme="majorEastAsia" w:hAnsiTheme="majorHAnsi"/>
      <w:b/>
      <w:i/>
      <w:sz w:val="24"/>
      <w:szCs w:val="24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9C140E"/>
    <w:pPr>
      <w:outlineLvl w:val="9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CD6B0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D6B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140E"/>
    <w:pPr>
      <w:spacing w:after="0" w:line="240" w:lineRule="auto"/>
    </w:pPr>
    <w:rPr>
      <w:sz w:val="24"/>
      <w:szCs w:val="24"/>
    </w:rPr>
  </w:style>
  <w:style w:type="paragraph" w:styleId="Balk1">
    <w:name w:val="heading 1"/>
    <w:basedOn w:val="Normal"/>
    <w:next w:val="Normal"/>
    <w:link w:val="Balk1Char"/>
    <w:uiPriority w:val="9"/>
    <w:qFormat/>
    <w:rsid w:val="009C140E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C140E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C140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C140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C140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C140E"/>
    <w:pPr>
      <w:spacing w:before="240" w:after="60"/>
      <w:outlineLvl w:val="5"/>
    </w:pPr>
    <w:rPr>
      <w:b/>
      <w:bCs/>
      <w:sz w:val="22"/>
      <w:szCs w:val="22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C140E"/>
    <w:pPr>
      <w:spacing w:before="240" w:after="60"/>
      <w:outlineLvl w:val="6"/>
    </w:p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C140E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C140E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C140E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C140E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C140E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Balk4Char">
    <w:name w:val="Başlık 4 Char"/>
    <w:basedOn w:val="VarsaylanParagrafYazTipi"/>
    <w:link w:val="Balk4"/>
    <w:uiPriority w:val="9"/>
    <w:rsid w:val="009C140E"/>
    <w:rPr>
      <w:b/>
      <w:bCs/>
      <w:sz w:val="28"/>
      <w:szCs w:val="28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C140E"/>
    <w:rPr>
      <w:b/>
      <w:bCs/>
      <w:i/>
      <w:iCs/>
      <w:sz w:val="26"/>
      <w:szCs w:val="26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C140E"/>
    <w:rPr>
      <w:b/>
      <w:bCs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C140E"/>
    <w:rPr>
      <w:sz w:val="24"/>
      <w:szCs w:val="24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C140E"/>
    <w:rPr>
      <w:i/>
      <w:iCs/>
      <w:sz w:val="24"/>
      <w:szCs w:val="24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C140E"/>
    <w:rPr>
      <w:rFonts w:asciiTheme="majorHAnsi" w:eastAsiaTheme="majorEastAsia" w:hAnsiTheme="majorHAnsi"/>
    </w:rPr>
  </w:style>
  <w:style w:type="paragraph" w:styleId="KonuBal">
    <w:name w:val="Title"/>
    <w:basedOn w:val="Normal"/>
    <w:next w:val="Normal"/>
    <w:link w:val="KonuBalChar"/>
    <w:uiPriority w:val="10"/>
    <w:qFormat/>
    <w:rsid w:val="009C140E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C140E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ltKonuBal">
    <w:name w:val="Subtitle"/>
    <w:basedOn w:val="Normal"/>
    <w:next w:val="Normal"/>
    <w:link w:val="AltKonuBalChar"/>
    <w:uiPriority w:val="11"/>
    <w:qFormat/>
    <w:rsid w:val="009C140E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ltKonuBalChar">
    <w:name w:val="Alt Konu Başlığı Char"/>
    <w:basedOn w:val="VarsaylanParagrafYazTipi"/>
    <w:link w:val="AltKonuBal"/>
    <w:uiPriority w:val="11"/>
    <w:rsid w:val="009C140E"/>
    <w:rPr>
      <w:rFonts w:asciiTheme="majorHAnsi" w:eastAsiaTheme="majorEastAsia" w:hAnsiTheme="majorHAnsi"/>
      <w:sz w:val="24"/>
      <w:szCs w:val="24"/>
    </w:rPr>
  </w:style>
  <w:style w:type="character" w:styleId="Gl">
    <w:name w:val="Strong"/>
    <w:basedOn w:val="VarsaylanParagrafYazTipi"/>
    <w:uiPriority w:val="22"/>
    <w:qFormat/>
    <w:rsid w:val="009C140E"/>
    <w:rPr>
      <w:b/>
      <w:bCs/>
    </w:rPr>
  </w:style>
  <w:style w:type="character" w:styleId="Vurgu">
    <w:name w:val="Emphasis"/>
    <w:basedOn w:val="VarsaylanParagrafYazTipi"/>
    <w:uiPriority w:val="20"/>
    <w:qFormat/>
    <w:rsid w:val="009C140E"/>
    <w:rPr>
      <w:rFonts w:asciiTheme="minorHAnsi" w:hAnsiTheme="minorHAnsi"/>
      <w:b/>
      <w:i/>
      <w:iCs/>
    </w:rPr>
  </w:style>
  <w:style w:type="paragraph" w:styleId="AralkYok">
    <w:name w:val="No Spacing"/>
    <w:basedOn w:val="Normal"/>
    <w:uiPriority w:val="1"/>
    <w:qFormat/>
    <w:rsid w:val="009C140E"/>
    <w:rPr>
      <w:szCs w:val="32"/>
    </w:rPr>
  </w:style>
  <w:style w:type="paragraph" w:styleId="ListeParagraf">
    <w:name w:val="List Paragraph"/>
    <w:basedOn w:val="Normal"/>
    <w:uiPriority w:val="34"/>
    <w:qFormat/>
    <w:rsid w:val="009C140E"/>
    <w:pPr>
      <w:ind w:left="720"/>
      <w:contextualSpacing/>
    </w:pPr>
  </w:style>
  <w:style w:type="paragraph" w:styleId="Trnak">
    <w:name w:val="Quote"/>
    <w:basedOn w:val="Normal"/>
    <w:next w:val="Normal"/>
    <w:link w:val="TrnakChar"/>
    <w:uiPriority w:val="29"/>
    <w:qFormat/>
    <w:rsid w:val="009C140E"/>
    <w:rPr>
      <w:i/>
    </w:rPr>
  </w:style>
  <w:style w:type="character" w:customStyle="1" w:styleId="TrnakChar">
    <w:name w:val="Tırnak Char"/>
    <w:basedOn w:val="VarsaylanParagrafYazTipi"/>
    <w:link w:val="Trnak"/>
    <w:uiPriority w:val="29"/>
    <w:rsid w:val="009C140E"/>
    <w:rPr>
      <w:i/>
      <w:sz w:val="24"/>
      <w:szCs w:val="24"/>
    </w:rPr>
  </w:style>
  <w:style w:type="paragraph" w:styleId="KeskinTrnak">
    <w:name w:val="Intense Quote"/>
    <w:basedOn w:val="Normal"/>
    <w:next w:val="Normal"/>
    <w:link w:val="KeskinTrnakChar"/>
    <w:uiPriority w:val="30"/>
    <w:qFormat/>
    <w:rsid w:val="009C140E"/>
    <w:pPr>
      <w:ind w:left="720" w:right="720"/>
    </w:pPr>
    <w:rPr>
      <w:b/>
      <w:i/>
      <w:szCs w:val="22"/>
    </w:rPr>
  </w:style>
  <w:style w:type="character" w:customStyle="1" w:styleId="KeskinTrnakChar">
    <w:name w:val="Keskin Tırnak Char"/>
    <w:basedOn w:val="VarsaylanParagrafYazTipi"/>
    <w:link w:val="KeskinTrnak"/>
    <w:uiPriority w:val="30"/>
    <w:rsid w:val="009C140E"/>
    <w:rPr>
      <w:b/>
      <w:i/>
      <w:sz w:val="24"/>
    </w:rPr>
  </w:style>
  <w:style w:type="character" w:styleId="HafifVurgulama">
    <w:name w:val="Subtle Emphasis"/>
    <w:uiPriority w:val="19"/>
    <w:qFormat/>
    <w:rsid w:val="009C140E"/>
    <w:rPr>
      <w:i/>
      <w:color w:val="5A5A5A" w:themeColor="text1" w:themeTint="A5"/>
    </w:rPr>
  </w:style>
  <w:style w:type="character" w:styleId="GlVurgulama">
    <w:name w:val="Intense Emphasis"/>
    <w:basedOn w:val="VarsaylanParagrafYazTipi"/>
    <w:uiPriority w:val="21"/>
    <w:qFormat/>
    <w:rsid w:val="009C140E"/>
    <w:rPr>
      <w:b/>
      <w:i/>
      <w:sz w:val="24"/>
      <w:szCs w:val="24"/>
      <w:u w:val="single"/>
    </w:rPr>
  </w:style>
  <w:style w:type="character" w:styleId="HafifBavuru">
    <w:name w:val="Subtle Reference"/>
    <w:basedOn w:val="VarsaylanParagrafYazTipi"/>
    <w:uiPriority w:val="31"/>
    <w:qFormat/>
    <w:rsid w:val="009C140E"/>
    <w:rPr>
      <w:sz w:val="24"/>
      <w:szCs w:val="24"/>
      <w:u w:val="single"/>
    </w:rPr>
  </w:style>
  <w:style w:type="character" w:styleId="GlBavuru">
    <w:name w:val="Intense Reference"/>
    <w:basedOn w:val="VarsaylanParagrafYazTipi"/>
    <w:uiPriority w:val="32"/>
    <w:qFormat/>
    <w:rsid w:val="009C140E"/>
    <w:rPr>
      <w:b/>
      <w:sz w:val="24"/>
      <w:u w:val="single"/>
    </w:rPr>
  </w:style>
  <w:style w:type="character" w:styleId="KitapBal">
    <w:name w:val="Book Title"/>
    <w:basedOn w:val="VarsaylanParagrafYazTipi"/>
    <w:uiPriority w:val="33"/>
    <w:qFormat/>
    <w:rsid w:val="009C140E"/>
    <w:rPr>
      <w:rFonts w:asciiTheme="majorHAnsi" w:eastAsiaTheme="majorEastAsia" w:hAnsiTheme="majorHAnsi"/>
      <w:b/>
      <w:i/>
      <w:sz w:val="24"/>
      <w:szCs w:val="24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9C140E"/>
    <w:pPr>
      <w:outlineLvl w:val="9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CD6B0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D6B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diagramData" Target="diagrams/data1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07/relationships/diagramDrawing" Target="diagrams/drawing1.xml"/><Relationship Id="rId5" Type="http://schemas.openxmlformats.org/officeDocument/2006/relationships/settings" Target="settings.xml"/><Relationship Id="rId10" Type="http://schemas.openxmlformats.org/officeDocument/2006/relationships/diagramColors" Target="diagrams/colors1.xml"/><Relationship Id="rId4" Type="http://schemas.microsoft.com/office/2007/relationships/stylesWithEffects" Target="stylesWithEffects.xml"/><Relationship Id="rId9" Type="http://schemas.openxmlformats.org/officeDocument/2006/relationships/diagramQuickStyle" Target="diagrams/quickStyl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987DF64-A908-404A-911C-14B426F2C6C5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tr-TR"/>
        </a:p>
      </dgm:t>
    </dgm:pt>
    <dgm:pt modelId="{68EB16D2-617D-43F6-AB05-3E657A1A269D}">
      <dgm:prSet phldrT="[Metin]" custT="1"/>
      <dgm:spPr/>
      <dgm:t>
        <a:bodyPr/>
        <a:lstStyle/>
        <a:p>
          <a:r>
            <a:rPr lang="tr-TR" sz="1200" b="1">
              <a:latin typeface="Times New Roman" pitchFamily="18" charset="0"/>
              <a:cs typeface="Times New Roman" pitchFamily="18" charset="0"/>
            </a:rPr>
            <a:t>Yıkım Sonrasında Kat Mülkiyetine Geçiş</a:t>
          </a:r>
        </a:p>
      </dgm:t>
    </dgm:pt>
    <dgm:pt modelId="{B18A813C-1376-49F0-86A0-1CF4BBCC1316}" type="parTrans" cxnId="{C2C5A793-A08A-4C31-8D02-2BE450171F97}">
      <dgm:prSet/>
      <dgm:spPr/>
      <dgm:t>
        <a:bodyPr/>
        <a:lstStyle/>
        <a:p>
          <a:endParaRPr lang="tr-TR"/>
        </a:p>
      </dgm:t>
    </dgm:pt>
    <dgm:pt modelId="{37F939AE-A065-413E-A5C9-85F7C02B1337}" type="sibTrans" cxnId="{C2C5A793-A08A-4C31-8D02-2BE450171F97}">
      <dgm:prSet/>
      <dgm:spPr/>
      <dgm:t>
        <a:bodyPr/>
        <a:lstStyle/>
        <a:p>
          <a:endParaRPr lang="tr-TR"/>
        </a:p>
      </dgm:t>
    </dgm:pt>
    <dgm:pt modelId="{529FA4ED-441C-4EE8-9DE3-E29122D8476D}">
      <dgm:prSet phldrT="[Metin]" custT="1"/>
      <dgm:spPr/>
      <dgm:t>
        <a:bodyPr/>
        <a:lstStyle/>
        <a:p>
          <a:r>
            <a:rPr lang="tr-TR" sz="800" b="1">
              <a:latin typeface="Times New Roman" pitchFamily="18" charset="0"/>
              <a:cs typeface="Times New Roman" pitchFamily="18" charset="0"/>
            </a:rPr>
            <a:t>I. SÜREÇ</a:t>
          </a:r>
        </a:p>
      </dgm:t>
    </dgm:pt>
    <dgm:pt modelId="{B61659C0-BDA5-481B-8614-6D990EE0CC63}" type="parTrans" cxnId="{8D8ECDA6-B0D8-41F1-A873-3F4D34B67D03}">
      <dgm:prSet/>
      <dgm:spPr/>
      <dgm:t>
        <a:bodyPr/>
        <a:lstStyle/>
        <a:p>
          <a:endParaRPr lang="tr-TR"/>
        </a:p>
      </dgm:t>
    </dgm:pt>
    <dgm:pt modelId="{6C1C566D-3F4D-4D92-81DB-05A308A08605}" type="sibTrans" cxnId="{8D8ECDA6-B0D8-41F1-A873-3F4D34B67D03}">
      <dgm:prSet/>
      <dgm:spPr/>
      <dgm:t>
        <a:bodyPr/>
        <a:lstStyle/>
        <a:p>
          <a:endParaRPr lang="tr-TR"/>
        </a:p>
      </dgm:t>
    </dgm:pt>
    <dgm:pt modelId="{F0396DC8-23C0-47FE-9251-16D63FB6F583}">
      <dgm:prSet phldrT="[Metin]" custT="1"/>
      <dgm:spPr/>
      <dgm:t>
        <a:bodyPr/>
        <a:lstStyle/>
        <a:p>
          <a:r>
            <a:rPr lang="tr-TR" sz="1000" b="1">
              <a:latin typeface="Times New Roman" pitchFamily="18" charset="0"/>
              <a:cs typeface="Times New Roman" pitchFamily="18" charset="0"/>
            </a:rPr>
            <a:t>Riskli yapı tespiti  </a:t>
          </a:r>
        </a:p>
        <a:p>
          <a:r>
            <a:rPr lang="tr-TR" sz="900">
              <a:latin typeface="Times New Roman" pitchFamily="18" charset="0"/>
              <a:cs typeface="Times New Roman" pitchFamily="18" charset="0"/>
            </a:rPr>
            <a:t>MK m.731 taşınmaz mülkiyetinin kanundan doğan kısıtlaması-Bir tek kat mailiki dahi isteyebilir. </a:t>
          </a:r>
        </a:p>
      </dgm:t>
    </dgm:pt>
    <dgm:pt modelId="{5246AA74-D94A-43F4-BAC5-A5C5A4B09747}" type="parTrans" cxnId="{AF217BD3-909F-4F57-AF8B-B06FE509B3AB}">
      <dgm:prSet/>
      <dgm:spPr/>
      <dgm:t>
        <a:bodyPr/>
        <a:lstStyle/>
        <a:p>
          <a:endParaRPr lang="tr-TR"/>
        </a:p>
      </dgm:t>
    </dgm:pt>
    <dgm:pt modelId="{A62528ED-F7B6-4611-9FA4-84624EE894A4}" type="sibTrans" cxnId="{AF217BD3-909F-4F57-AF8B-B06FE509B3AB}">
      <dgm:prSet/>
      <dgm:spPr/>
      <dgm:t>
        <a:bodyPr/>
        <a:lstStyle/>
        <a:p>
          <a:endParaRPr lang="tr-TR"/>
        </a:p>
      </dgm:t>
    </dgm:pt>
    <dgm:pt modelId="{B7F65430-1BAA-42CB-BB83-77B385BF66A2}">
      <dgm:prSet phldrT="[Metin]" custT="1"/>
      <dgm:spPr/>
      <dgm:t>
        <a:bodyPr/>
        <a:lstStyle/>
        <a:p>
          <a:r>
            <a:rPr lang="tr-TR" sz="800" b="1">
              <a:latin typeface="Times New Roman" pitchFamily="18" charset="0"/>
              <a:cs typeface="Times New Roman" pitchFamily="18" charset="0"/>
            </a:rPr>
            <a:t>II. SÜREÇ</a:t>
          </a:r>
        </a:p>
      </dgm:t>
    </dgm:pt>
    <dgm:pt modelId="{42F6D68A-E739-4F3C-BE19-B430566A9890}" type="parTrans" cxnId="{7DF21CB3-ACC5-4B70-9865-E46F1D379A1A}">
      <dgm:prSet/>
      <dgm:spPr/>
      <dgm:t>
        <a:bodyPr/>
        <a:lstStyle/>
        <a:p>
          <a:endParaRPr lang="tr-TR"/>
        </a:p>
      </dgm:t>
    </dgm:pt>
    <dgm:pt modelId="{9BF72E29-6544-42C2-A710-8DF8B9B7FCBF}" type="sibTrans" cxnId="{7DF21CB3-ACC5-4B70-9865-E46F1D379A1A}">
      <dgm:prSet/>
      <dgm:spPr/>
      <dgm:t>
        <a:bodyPr/>
        <a:lstStyle/>
        <a:p>
          <a:endParaRPr lang="tr-TR"/>
        </a:p>
      </dgm:t>
    </dgm:pt>
    <dgm:pt modelId="{9A0B2C1D-D364-4CC8-8BFB-504C31777C8D}">
      <dgm:prSet phldrT="[Metin]" custT="1"/>
      <dgm:spPr/>
      <dgm:t>
        <a:bodyPr/>
        <a:lstStyle/>
        <a:p>
          <a:r>
            <a:rPr lang="tr-TR" sz="1000" b="1">
              <a:latin typeface="Times New Roman" pitchFamily="18" charset="0"/>
              <a:cs typeface="Times New Roman" pitchFamily="18" charset="0"/>
            </a:rPr>
            <a:t>Yıkım</a:t>
          </a:r>
        </a:p>
        <a:p>
          <a:r>
            <a:rPr lang="tr-TR" sz="1200" b="1">
              <a:latin typeface="Times New Roman" pitchFamily="18" charset="0"/>
              <a:cs typeface="Times New Roman" pitchFamily="18" charset="0"/>
            </a:rPr>
            <a:t>  •</a:t>
          </a:r>
          <a:r>
            <a:rPr lang="tr-TR" sz="900" b="0">
              <a:latin typeface="Times New Roman" pitchFamily="18" charset="0"/>
              <a:cs typeface="Times New Roman" pitchFamily="18" charset="0"/>
            </a:rPr>
            <a:t>KMK 46 ve 47inci madde hükmünce kat mülkiyeti sona erer. </a:t>
          </a:r>
        </a:p>
        <a:p>
          <a:r>
            <a:rPr lang="tr-TR" sz="900" b="1">
              <a:latin typeface="Times New Roman" pitchFamily="18" charset="0"/>
              <a:cs typeface="Times New Roman" pitchFamily="18" charset="0"/>
            </a:rPr>
            <a:t>•</a:t>
          </a:r>
          <a:r>
            <a:rPr lang="tr-TR" sz="900" b="0">
              <a:latin typeface="Times New Roman" pitchFamily="18" charset="0"/>
              <a:cs typeface="Times New Roman" pitchFamily="18" charset="0"/>
            </a:rPr>
            <a:t>Bakanlığın talebi ve İdare re'sen terkin  eder. (6306 sy. kan. 6/f.1)</a:t>
          </a:r>
        </a:p>
        <a:p>
          <a:r>
            <a:rPr lang="tr-TR" sz="900" b="1">
              <a:latin typeface="Times New Roman" pitchFamily="18" charset="0"/>
              <a:cs typeface="Times New Roman" pitchFamily="18" charset="0"/>
            </a:rPr>
            <a:t>•</a:t>
          </a:r>
          <a:r>
            <a:rPr lang="tr-TR" sz="900" b="0">
              <a:latin typeface="Times New Roman" pitchFamily="18" charset="0"/>
              <a:cs typeface="Times New Roman" pitchFamily="18" charset="0"/>
            </a:rPr>
            <a:t>KMK 48/II, MK m. 688 vd. paylı mülkiyete dönüş</a:t>
          </a:r>
        </a:p>
        <a:p>
          <a:r>
            <a:rPr lang="tr-TR" sz="900" b="1">
              <a:latin typeface="Times New Roman" pitchFamily="18" charset="0"/>
              <a:cs typeface="Times New Roman" pitchFamily="18" charset="0"/>
            </a:rPr>
            <a:t>•</a:t>
          </a:r>
          <a:r>
            <a:rPr lang="tr-TR" sz="900" b="0">
              <a:latin typeface="Times New Roman" pitchFamily="18" charset="0"/>
              <a:cs typeface="Times New Roman" pitchFamily="18" charset="0"/>
            </a:rPr>
            <a:t>KMK esaslarınca yıkım sonrası yıkılan bağımsız bölümün niteliği ve konusunda oluşan paylı mülkiyette MK 692 hükmünce oybirliği ile özgülediği amaç değiştirilebilir. </a:t>
          </a:r>
          <a:endParaRPr lang="tr-TR" sz="900" b="1">
            <a:latin typeface="Times New Roman" pitchFamily="18" charset="0"/>
            <a:cs typeface="Times New Roman" pitchFamily="18" charset="0"/>
          </a:endParaRPr>
        </a:p>
        <a:p>
          <a:r>
            <a:rPr lang="tr-TR" sz="900" b="1">
              <a:latin typeface="Times New Roman" pitchFamily="18" charset="0"/>
              <a:cs typeface="Times New Roman" pitchFamily="18" charset="0"/>
            </a:rPr>
            <a:t>•</a:t>
          </a:r>
          <a:r>
            <a:rPr lang="tr-TR" sz="900" b="0">
              <a:latin typeface="Times New Roman" pitchFamily="18" charset="0"/>
              <a:cs typeface="Times New Roman" pitchFamily="18" charset="0"/>
            </a:rPr>
            <a:t>Arsa payı paylı mülkiyet oranını belirler</a:t>
          </a:r>
          <a:r>
            <a:rPr lang="tr-TR" sz="900" b="1">
              <a:latin typeface="Times New Roman" pitchFamily="18" charset="0"/>
              <a:cs typeface="Times New Roman" pitchFamily="18" charset="0"/>
            </a:rPr>
            <a:t>. </a:t>
          </a:r>
        </a:p>
        <a:p>
          <a:r>
            <a:rPr lang="tr-TR" sz="900" b="1">
              <a:latin typeface="Times New Roman" pitchFamily="18" charset="0"/>
              <a:cs typeface="Times New Roman" pitchFamily="18" charset="0"/>
            </a:rPr>
            <a:t>•</a:t>
          </a:r>
          <a:r>
            <a:rPr lang="tr-TR" sz="900" b="0">
              <a:latin typeface="Times New Roman" pitchFamily="18" charset="0"/>
              <a:cs typeface="Times New Roman" pitchFamily="18" charset="0"/>
            </a:rPr>
            <a:t>Bu aşamadan sonra arsa payının düzeltilmesi davası (KMK m.3) konusuz kalır.</a:t>
          </a:r>
        </a:p>
        <a:p>
          <a:r>
            <a:rPr lang="tr-TR" sz="900" b="1">
              <a:latin typeface="Times New Roman" pitchFamily="18" charset="0"/>
              <a:cs typeface="Times New Roman" pitchFamily="18" charset="0"/>
            </a:rPr>
            <a:t>•</a:t>
          </a:r>
          <a:r>
            <a:rPr lang="tr-TR" sz="900" b="0">
              <a:latin typeface="Times New Roman" pitchFamily="18" charset="0"/>
              <a:cs typeface="Times New Roman" pitchFamily="18" charset="0"/>
            </a:rPr>
            <a:t> Bu yasanın yürülüğe girmesinden sonra ve Yıkımdan önce bu yasaya bağlı beklenti ile önce açılanlar hakkın kötüye kullanılması (MK m.2) niteliğindedir. </a:t>
          </a:r>
        </a:p>
      </dgm:t>
    </dgm:pt>
    <dgm:pt modelId="{923A44B7-5369-4A9A-BA66-6381A26F53C1}" type="parTrans" cxnId="{108A97A3-9428-436A-9993-BD4B57F9A571}">
      <dgm:prSet/>
      <dgm:spPr/>
      <dgm:t>
        <a:bodyPr/>
        <a:lstStyle/>
        <a:p>
          <a:endParaRPr lang="tr-TR"/>
        </a:p>
      </dgm:t>
    </dgm:pt>
    <dgm:pt modelId="{8915DC0A-8A59-4727-B1B2-19904BE47228}" type="sibTrans" cxnId="{108A97A3-9428-436A-9993-BD4B57F9A571}">
      <dgm:prSet/>
      <dgm:spPr/>
      <dgm:t>
        <a:bodyPr/>
        <a:lstStyle/>
        <a:p>
          <a:endParaRPr lang="tr-TR"/>
        </a:p>
      </dgm:t>
    </dgm:pt>
    <dgm:pt modelId="{EF371794-B443-493E-80C8-68C4D1DA9D5F}">
      <dgm:prSet phldrT="[Metin]" custT="1"/>
      <dgm:spPr/>
      <dgm:t>
        <a:bodyPr/>
        <a:lstStyle/>
        <a:p>
          <a:r>
            <a:rPr lang="tr-TR" sz="800" b="1">
              <a:latin typeface="Times New Roman" pitchFamily="18" charset="0"/>
              <a:cs typeface="Times New Roman" pitchFamily="18" charset="0"/>
            </a:rPr>
            <a:t>III.SÜREÇ</a:t>
          </a:r>
        </a:p>
      </dgm:t>
    </dgm:pt>
    <dgm:pt modelId="{0B7753EE-9A81-4E66-A0A3-03FA9D731F1B}" type="parTrans" cxnId="{2D5A2994-4977-4E1E-A2CF-B9823F6EDBE5}">
      <dgm:prSet/>
      <dgm:spPr/>
      <dgm:t>
        <a:bodyPr/>
        <a:lstStyle/>
        <a:p>
          <a:endParaRPr lang="tr-TR"/>
        </a:p>
      </dgm:t>
    </dgm:pt>
    <dgm:pt modelId="{671E473E-A0DD-4BB2-9209-FA702EA067FA}" type="sibTrans" cxnId="{2D5A2994-4977-4E1E-A2CF-B9823F6EDBE5}">
      <dgm:prSet/>
      <dgm:spPr/>
      <dgm:t>
        <a:bodyPr/>
        <a:lstStyle/>
        <a:p>
          <a:endParaRPr lang="tr-TR"/>
        </a:p>
      </dgm:t>
    </dgm:pt>
    <dgm:pt modelId="{49305C62-7302-4AD1-8511-880CF4D311F0}">
      <dgm:prSet phldrT="[Metin]" custT="1"/>
      <dgm:spPr/>
      <dgm:t>
        <a:bodyPr/>
        <a:lstStyle/>
        <a:p>
          <a:r>
            <a:rPr lang="tr-TR" sz="1000" b="1">
              <a:latin typeface="Times New Roman" pitchFamily="18" charset="0"/>
              <a:cs typeface="Times New Roman" pitchFamily="18" charset="0"/>
            </a:rPr>
            <a:t>Paylı mülkiyet birliğinde  kararlar</a:t>
          </a:r>
        </a:p>
        <a:p>
          <a:r>
            <a:rPr lang="tr-TR" sz="900" b="0">
              <a:latin typeface="Times New Roman" pitchFamily="18" charset="0"/>
              <a:cs typeface="Times New Roman" pitchFamily="18" charset="0"/>
            </a:rPr>
            <a:t>•MK m. 692  hükmü geçerlidir. Çünkü imar mevzuatı uygulamasında, inşaat izni alınması kat irtifakı ve kat mülkiyetinin yeniden kurulması oybirliğini gerekli kılar. </a:t>
          </a:r>
        </a:p>
        <a:p>
          <a:r>
            <a:rPr lang="tr-TR" sz="900" b="0">
              <a:latin typeface="Times New Roman" pitchFamily="18" charset="0"/>
              <a:cs typeface="Times New Roman" pitchFamily="18" charset="0"/>
            </a:rPr>
            <a:t>•Kat malikleri KMK ek-4 hükmünce 4/5 çoğunluğu oluşturmaları halinde 6306 kapsamından çıkarlar.</a:t>
          </a:r>
        </a:p>
        <a:p>
          <a:r>
            <a:rPr lang="tr-TR" sz="900" b="0">
              <a:latin typeface="Times New Roman" pitchFamily="18" charset="0"/>
              <a:cs typeface="Times New Roman" pitchFamily="18" charset="0"/>
            </a:rPr>
            <a:t>•2/3 çoğunluğun karar alması halinde 6306 sayılı kanun uyarınca geçerli anlaşma sayılarak  "kat malikleri değerlendirilmesi esastır" (6306 sy.  kan. 6/I) kuralı yerine getirilmiş sayılır. </a:t>
          </a:r>
        </a:p>
        <a:p>
          <a:r>
            <a:rPr lang="tr-TR" sz="900" b="0">
              <a:latin typeface="Times New Roman" pitchFamily="18" charset="0"/>
              <a:cs typeface="Times New Roman" pitchFamily="18" charset="0"/>
            </a:rPr>
            <a:t>-1/3 pay oranını  isteğe bağlı açık artırma niteliği uyarınca, kat malikleri tarafından edinilmeyecek olursa İdarece edinim zorunludur. İdarenin anlaşmaya uymasının (6306 sy.  kan. 6/I) dayalı olarak doğmuş olması sonucu MK m. 692 hükmünce oybirliğinin sağlanmasının önü açılmış olacaktır. </a:t>
          </a:r>
        </a:p>
      </dgm:t>
    </dgm:pt>
    <dgm:pt modelId="{4841BF03-E7EB-4D8E-BA44-D0231A7B9E34}" type="parTrans" cxnId="{519E5179-8B80-4068-BA57-8B3415CE3707}">
      <dgm:prSet/>
      <dgm:spPr/>
      <dgm:t>
        <a:bodyPr/>
        <a:lstStyle/>
        <a:p>
          <a:endParaRPr lang="tr-TR"/>
        </a:p>
      </dgm:t>
    </dgm:pt>
    <dgm:pt modelId="{3E74BE94-538C-4701-B9F0-85033E57CBD4}" type="sibTrans" cxnId="{519E5179-8B80-4068-BA57-8B3415CE3707}">
      <dgm:prSet/>
      <dgm:spPr/>
      <dgm:t>
        <a:bodyPr/>
        <a:lstStyle/>
        <a:p>
          <a:endParaRPr lang="tr-TR"/>
        </a:p>
      </dgm:t>
    </dgm:pt>
    <dgm:pt modelId="{E392BEEC-034B-4EDF-B90D-95DC88EF21F8}">
      <dgm:prSet phldrT="[Metin]" custT="1"/>
      <dgm:spPr/>
      <dgm:t>
        <a:bodyPr/>
        <a:lstStyle/>
        <a:p>
          <a:r>
            <a:rPr lang="tr-TR" sz="800" b="1">
              <a:latin typeface="Times New Roman" pitchFamily="18" charset="0"/>
              <a:cs typeface="Times New Roman" pitchFamily="18" charset="0"/>
            </a:rPr>
            <a:t>IV-SÜREÇ</a:t>
          </a:r>
        </a:p>
      </dgm:t>
    </dgm:pt>
    <dgm:pt modelId="{1EDBCE56-1E38-45BF-86E1-1A54F4CBDC06}" type="parTrans" cxnId="{C74F2A9E-D40E-436F-82BD-6013E5E0161C}">
      <dgm:prSet/>
      <dgm:spPr/>
      <dgm:t>
        <a:bodyPr/>
        <a:lstStyle/>
        <a:p>
          <a:endParaRPr lang="tr-TR"/>
        </a:p>
      </dgm:t>
    </dgm:pt>
    <dgm:pt modelId="{51899F81-4AB7-4644-B1F6-37D907742719}" type="sibTrans" cxnId="{C74F2A9E-D40E-436F-82BD-6013E5E0161C}">
      <dgm:prSet/>
      <dgm:spPr/>
      <dgm:t>
        <a:bodyPr/>
        <a:lstStyle/>
        <a:p>
          <a:endParaRPr lang="tr-TR"/>
        </a:p>
      </dgm:t>
    </dgm:pt>
    <dgm:pt modelId="{C9E16AC0-EDBF-43D6-A9B9-C8F7EDA775F3}">
      <dgm:prSet phldrT="[Metin]" custT="1"/>
      <dgm:spPr/>
      <dgm:t>
        <a:bodyPr/>
        <a:lstStyle/>
        <a:p>
          <a:endParaRPr lang="tr-TR" sz="800" b="1">
            <a:latin typeface="Times New Roman" pitchFamily="18" charset="0"/>
            <a:cs typeface="Times New Roman" pitchFamily="18" charset="0"/>
          </a:endParaRPr>
        </a:p>
        <a:p>
          <a:endParaRPr lang="tr-TR" sz="800" b="1">
            <a:latin typeface="Times New Roman" pitchFamily="18" charset="0"/>
            <a:cs typeface="Times New Roman" pitchFamily="18" charset="0"/>
          </a:endParaRPr>
        </a:p>
        <a:p>
          <a:endParaRPr lang="tr-TR" sz="800" b="1">
            <a:latin typeface="Times New Roman" pitchFamily="18" charset="0"/>
            <a:cs typeface="Times New Roman" pitchFamily="18" charset="0"/>
          </a:endParaRPr>
        </a:p>
        <a:p>
          <a:endParaRPr lang="tr-TR" sz="800" b="1">
            <a:latin typeface="Times New Roman" pitchFamily="18" charset="0"/>
            <a:cs typeface="Times New Roman" pitchFamily="18" charset="0"/>
          </a:endParaRPr>
        </a:p>
        <a:p>
          <a:endParaRPr lang="tr-TR" sz="800" b="1">
            <a:latin typeface="Times New Roman" pitchFamily="18" charset="0"/>
            <a:cs typeface="Times New Roman" pitchFamily="18" charset="0"/>
          </a:endParaRPr>
        </a:p>
        <a:p>
          <a:r>
            <a:rPr lang="tr-TR" sz="1000" b="1">
              <a:latin typeface="Times New Roman" pitchFamily="18" charset="0"/>
              <a:cs typeface="Times New Roman" pitchFamily="18" charset="0"/>
            </a:rPr>
            <a:t> 2/3 çoğunluğun sağlanması sonucu yapılanma</a:t>
          </a:r>
        </a:p>
        <a:p>
          <a:r>
            <a:rPr lang="tr-TR" sz="900" b="0">
              <a:latin typeface="Times New Roman" pitchFamily="18" charset="0"/>
              <a:cs typeface="Times New Roman" pitchFamily="18" charset="0"/>
            </a:rPr>
            <a:t>•MK,KMK ve İmar mevzuatı hükümleri uyarınca her aşamada oybirliğinin sağlanması gerekir. Çünkü 6306 sayılı kanun 2/3 çoğunluğun aldığı karara her aşamada bağlılık hükmü getirmemiştir. </a:t>
          </a:r>
          <a:endParaRPr lang="tr-TR" sz="900" b="1">
            <a:latin typeface="Times New Roman" pitchFamily="18" charset="0"/>
            <a:cs typeface="Times New Roman" pitchFamily="18" charset="0"/>
          </a:endParaRPr>
        </a:p>
        <a:p>
          <a:r>
            <a:rPr lang="tr-TR" sz="900" b="1">
              <a:latin typeface="Times New Roman" pitchFamily="18" charset="0"/>
              <a:cs typeface="Times New Roman" pitchFamily="18" charset="0"/>
            </a:rPr>
            <a:t>•</a:t>
          </a:r>
          <a:r>
            <a:rPr lang="tr-TR" sz="900" b="0">
              <a:latin typeface="Times New Roman" pitchFamily="18" charset="0"/>
              <a:cs typeface="Times New Roman" pitchFamily="18" charset="0"/>
            </a:rPr>
            <a:t>Bu sonuçla 2/3 çoğunluk her zaman (KMK ek-4 hükmü paralel) karar alarak bir sonraki aşamaya geçilmesine engel olan 1/3 'ün açık artırma ile payını edinebilmelidir. </a:t>
          </a:r>
          <a:endParaRPr lang="tr-TR" sz="900" b="1">
            <a:latin typeface="Times New Roman" pitchFamily="18" charset="0"/>
            <a:cs typeface="Times New Roman" pitchFamily="18" charset="0"/>
          </a:endParaRPr>
        </a:p>
        <a:p>
          <a:r>
            <a:rPr lang="tr-TR" sz="900" b="1">
              <a:latin typeface="Times New Roman" pitchFamily="18" charset="0"/>
              <a:cs typeface="Times New Roman" pitchFamily="18" charset="0"/>
            </a:rPr>
            <a:t>•</a:t>
          </a:r>
          <a:r>
            <a:rPr lang="tr-TR" sz="900" b="0">
              <a:latin typeface="Times New Roman" pitchFamily="18" charset="0"/>
              <a:cs typeface="Times New Roman" pitchFamily="18" charset="0"/>
            </a:rPr>
            <a:t>Paydaşlar 2/3 ile mimari proje, inşaat sözleşmesi (arsa payı karşılığı inşaat) yaptıkları anlaşmalar ile karara katılmayan paydaşların açık artırma ile edinmeleri sonucu oybirliğini sağlayarak yeniden yapılanma sağlayabilirler. </a:t>
          </a:r>
        </a:p>
        <a:p>
          <a:r>
            <a:rPr lang="tr-TR" sz="900">
              <a:latin typeface="Times New Roman" pitchFamily="18" charset="0"/>
              <a:cs typeface="Times New Roman" pitchFamily="18" charset="0"/>
            </a:rPr>
            <a:t>•Arsa payı karşılığı inşaat sözleşmesi her bir paydaş ile ayrı ayrı taahhüt muamelesi (borçlandırıcı işlem) niteliğinde imzalanabilir.</a:t>
          </a:r>
        </a:p>
        <a:p>
          <a:r>
            <a:rPr lang="tr-TR" sz="900">
              <a:latin typeface="Times New Roman" pitchFamily="18" charset="0"/>
              <a:cs typeface="Times New Roman" pitchFamily="18" charset="0"/>
            </a:rPr>
            <a:t>•Bu sayı 2/3 çoğunluğa ulaşması halinde “kat malikleri tarafından değerlendirme” olgusu gerçekleşmiş  sayılacaktır. </a:t>
          </a:r>
        </a:p>
        <a:p>
          <a:r>
            <a:rPr lang="tr-TR" sz="900">
              <a:latin typeface="Times New Roman" pitchFamily="18" charset="0"/>
              <a:cs typeface="Times New Roman" pitchFamily="18" charset="0"/>
            </a:rPr>
            <a:t>•Arsa payı karşılığı inşaat sözleşmelerinin 2/3 çoğunluğun elde edilmesi halinde bağlayıcılığı taliki (gecikme) koşul olarak sağlanabilecektir. </a:t>
          </a:r>
        </a:p>
        <a:p>
          <a:r>
            <a:rPr lang="tr-TR" sz="900">
              <a:latin typeface="Times New Roman" pitchFamily="18" charset="0"/>
              <a:cs typeface="Times New Roman" pitchFamily="18" charset="0"/>
            </a:rPr>
            <a:t>•Açık artırmada 1/3 payın tümü ile halihazır paydaşlarca edinilmediği takdirde idarece edinme sonucu kanunen eşyaya bağlı borç niteliği ile kat maliklerinin anlaşması ile bağlılık söz konusudur. </a:t>
          </a:r>
          <a:endParaRPr lang="tr-TR" sz="900" b="1">
            <a:latin typeface="Times New Roman" pitchFamily="18" charset="0"/>
            <a:cs typeface="Times New Roman" pitchFamily="18" charset="0"/>
          </a:endParaRPr>
        </a:p>
        <a:p>
          <a:r>
            <a:rPr lang="tr-TR" sz="800">
              <a:latin typeface="Times New Roman" pitchFamily="18" charset="0"/>
              <a:cs typeface="Times New Roman" pitchFamily="18" charset="0"/>
            </a:rPr>
            <a:t/>
          </a:r>
          <a:br>
            <a:rPr lang="tr-TR" sz="800">
              <a:latin typeface="Times New Roman" pitchFamily="18" charset="0"/>
              <a:cs typeface="Times New Roman" pitchFamily="18" charset="0"/>
            </a:rPr>
          </a:br>
          <a:endParaRPr lang="tr-TR" sz="800" b="1">
            <a:latin typeface="Times New Roman" pitchFamily="18" charset="0"/>
            <a:cs typeface="Times New Roman" pitchFamily="18" charset="0"/>
          </a:endParaRPr>
        </a:p>
        <a:p>
          <a:r>
            <a:rPr lang="tr-TR" sz="800">
              <a:latin typeface="Times New Roman" pitchFamily="18" charset="0"/>
              <a:cs typeface="Times New Roman" pitchFamily="18" charset="0"/>
            </a:rPr>
            <a:t/>
          </a:r>
          <a:br>
            <a:rPr lang="tr-TR" sz="800">
              <a:latin typeface="Times New Roman" pitchFamily="18" charset="0"/>
              <a:cs typeface="Times New Roman" pitchFamily="18" charset="0"/>
            </a:rPr>
          </a:br>
          <a:endParaRPr lang="tr-TR" sz="800" b="1">
            <a:latin typeface="Times New Roman" pitchFamily="18" charset="0"/>
            <a:cs typeface="Times New Roman" pitchFamily="18" charset="0"/>
          </a:endParaRPr>
        </a:p>
        <a:p>
          <a:r>
            <a:rPr lang="tr-TR" sz="800">
              <a:latin typeface="Times New Roman" pitchFamily="18" charset="0"/>
              <a:cs typeface="Times New Roman" pitchFamily="18" charset="0"/>
            </a:rPr>
            <a:t/>
          </a:r>
          <a:br>
            <a:rPr lang="tr-TR" sz="800">
              <a:latin typeface="Times New Roman" pitchFamily="18" charset="0"/>
              <a:cs typeface="Times New Roman" pitchFamily="18" charset="0"/>
            </a:rPr>
          </a:br>
          <a:r>
            <a:rPr lang="tr-TR" sz="800">
              <a:latin typeface="Times New Roman" pitchFamily="18" charset="0"/>
              <a:cs typeface="Times New Roman" pitchFamily="18" charset="0"/>
            </a:rPr>
            <a:t/>
          </a:r>
          <a:br>
            <a:rPr lang="tr-TR" sz="800">
              <a:latin typeface="Times New Roman" pitchFamily="18" charset="0"/>
              <a:cs typeface="Times New Roman" pitchFamily="18" charset="0"/>
            </a:rPr>
          </a:br>
          <a:endParaRPr lang="tr-TR" sz="800" b="1">
            <a:latin typeface="Times New Roman" pitchFamily="18" charset="0"/>
            <a:cs typeface="Times New Roman" pitchFamily="18" charset="0"/>
          </a:endParaRPr>
        </a:p>
      </dgm:t>
    </dgm:pt>
    <dgm:pt modelId="{96FBCFAA-E863-4CCF-8419-F2F8B23341B7}" type="parTrans" cxnId="{D72DF712-F9A4-476C-A5CF-BD9FAB519AF3}">
      <dgm:prSet/>
      <dgm:spPr/>
      <dgm:t>
        <a:bodyPr/>
        <a:lstStyle/>
        <a:p>
          <a:endParaRPr lang="tr-TR"/>
        </a:p>
      </dgm:t>
    </dgm:pt>
    <dgm:pt modelId="{247903D5-86E9-4B9E-B704-BACCA10DD736}" type="sibTrans" cxnId="{D72DF712-F9A4-476C-A5CF-BD9FAB519AF3}">
      <dgm:prSet/>
      <dgm:spPr/>
      <dgm:t>
        <a:bodyPr/>
        <a:lstStyle/>
        <a:p>
          <a:endParaRPr lang="tr-TR"/>
        </a:p>
      </dgm:t>
    </dgm:pt>
    <dgm:pt modelId="{5003A541-CA04-4BA7-B294-BA8BBA9A08F1}" type="pres">
      <dgm:prSet presAssocID="{7987DF64-A908-404A-911C-14B426F2C6C5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tr-TR"/>
        </a:p>
      </dgm:t>
    </dgm:pt>
    <dgm:pt modelId="{C76A271A-2282-4882-BE57-BE7E4230316A}" type="pres">
      <dgm:prSet presAssocID="{68EB16D2-617D-43F6-AB05-3E657A1A269D}" presName="hierRoot1" presStyleCnt="0"/>
      <dgm:spPr/>
    </dgm:pt>
    <dgm:pt modelId="{62AB688B-4E4C-40B2-A26C-754688103B3C}" type="pres">
      <dgm:prSet presAssocID="{68EB16D2-617D-43F6-AB05-3E657A1A269D}" presName="composite" presStyleCnt="0"/>
      <dgm:spPr/>
    </dgm:pt>
    <dgm:pt modelId="{2B0626AF-3B1F-4E07-906D-718D97272F60}" type="pres">
      <dgm:prSet presAssocID="{68EB16D2-617D-43F6-AB05-3E657A1A269D}" presName="background" presStyleLbl="node0" presStyleIdx="0" presStyleCnt="1"/>
      <dgm:spPr/>
    </dgm:pt>
    <dgm:pt modelId="{7612D5E3-3D9E-45C0-9295-81648B85C2ED}" type="pres">
      <dgm:prSet presAssocID="{68EB16D2-617D-43F6-AB05-3E657A1A269D}" presName="text" presStyleLbl="fgAcc0" presStyleIdx="0" presStyleCnt="1" custAng="0" custScaleX="96184" custScaleY="37297" custLinFactNeighborX="8367" custLinFactNeighborY="-57099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6D763E17-0B42-4750-91BF-8E947E2060F2}" type="pres">
      <dgm:prSet presAssocID="{68EB16D2-617D-43F6-AB05-3E657A1A269D}" presName="hierChild2" presStyleCnt="0"/>
      <dgm:spPr/>
    </dgm:pt>
    <dgm:pt modelId="{5ADA2A19-D6C0-47E4-B929-E037B1D2E870}" type="pres">
      <dgm:prSet presAssocID="{B61659C0-BDA5-481B-8614-6D990EE0CC63}" presName="Name10" presStyleLbl="parChTrans1D2" presStyleIdx="0" presStyleCnt="4"/>
      <dgm:spPr/>
      <dgm:t>
        <a:bodyPr/>
        <a:lstStyle/>
        <a:p>
          <a:endParaRPr lang="tr-TR"/>
        </a:p>
      </dgm:t>
    </dgm:pt>
    <dgm:pt modelId="{23E80478-2A4A-4EC4-AEB5-6AAD8BBF87C1}" type="pres">
      <dgm:prSet presAssocID="{529FA4ED-441C-4EE8-9DE3-E29122D8476D}" presName="hierRoot2" presStyleCnt="0"/>
      <dgm:spPr/>
    </dgm:pt>
    <dgm:pt modelId="{C59DFB25-F551-4707-99DF-F3CF4BA194E4}" type="pres">
      <dgm:prSet presAssocID="{529FA4ED-441C-4EE8-9DE3-E29122D8476D}" presName="composite2" presStyleCnt="0"/>
      <dgm:spPr/>
    </dgm:pt>
    <dgm:pt modelId="{DB9EAC05-D3B4-4AC9-9C96-A7998C8AD276}" type="pres">
      <dgm:prSet presAssocID="{529FA4ED-441C-4EE8-9DE3-E29122D8476D}" presName="background2" presStyleLbl="node2" presStyleIdx="0" presStyleCnt="4"/>
      <dgm:spPr/>
    </dgm:pt>
    <dgm:pt modelId="{50E1FC2A-5365-46C3-B468-DDAE32676248}" type="pres">
      <dgm:prSet presAssocID="{529FA4ED-441C-4EE8-9DE3-E29122D8476D}" presName="text2" presStyleLbl="fgAcc2" presStyleIdx="0" presStyleCnt="4" custScaleX="46964" custScaleY="27653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264C9568-98F1-4F3F-8C5F-42B3D3A06E8B}" type="pres">
      <dgm:prSet presAssocID="{529FA4ED-441C-4EE8-9DE3-E29122D8476D}" presName="hierChild3" presStyleCnt="0"/>
      <dgm:spPr/>
    </dgm:pt>
    <dgm:pt modelId="{743EE829-FB9B-4964-A440-B13AF2E61BE2}" type="pres">
      <dgm:prSet presAssocID="{5246AA74-D94A-43F4-BAC5-A5C5A4B09747}" presName="Name17" presStyleLbl="parChTrans1D3" presStyleIdx="0" presStyleCnt="4"/>
      <dgm:spPr/>
      <dgm:t>
        <a:bodyPr/>
        <a:lstStyle/>
        <a:p>
          <a:endParaRPr lang="tr-TR"/>
        </a:p>
      </dgm:t>
    </dgm:pt>
    <dgm:pt modelId="{8AA4DD1E-82A9-4F39-A357-18D95CA138A8}" type="pres">
      <dgm:prSet presAssocID="{F0396DC8-23C0-47FE-9251-16D63FB6F583}" presName="hierRoot3" presStyleCnt="0"/>
      <dgm:spPr/>
    </dgm:pt>
    <dgm:pt modelId="{C19A4ADD-519F-4687-8990-60E83A53D64A}" type="pres">
      <dgm:prSet presAssocID="{F0396DC8-23C0-47FE-9251-16D63FB6F583}" presName="composite3" presStyleCnt="0"/>
      <dgm:spPr/>
    </dgm:pt>
    <dgm:pt modelId="{2FBF11D0-43EC-4117-BB27-1BC27268D9E5}" type="pres">
      <dgm:prSet presAssocID="{F0396DC8-23C0-47FE-9251-16D63FB6F583}" presName="background3" presStyleLbl="node3" presStyleIdx="0" presStyleCnt="4"/>
      <dgm:spPr/>
    </dgm:pt>
    <dgm:pt modelId="{AB9478C5-4F39-4102-B725-01B35BBB70AF}" type="pres">
      <dgm:prSet presAssocID="{F0396DC8-23C0-47FE-9251-16D63FB6F583}" presName="text3" presStyleLbl="fgAcc3" presStyleIdx="0" presStyleCnt="4" custScaleX="68582" custScaleY="46473" custLinFactNeighborX="1164" custLinFactNeighborY="-15402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7E4EBAF9-1D69-424A-8912-322CF23BAA2D}" type="pres">
      <dgm:prSet presAssocID="{F0396DC8-23C0-47FE-9251-16D63FB6F583}" presName="hierChild4" presStyleCnt="0"/>
      <dgm:spPr/>
    </dgm:pt>
    <dgm:pt modelId="{8C427947-512B-438A-B3FF-A4BED7AD87C7}" type="pres">
      <dgm:prSet presAssocID="{42F6D68A-E739-4F3C-BE19-B430566A9890}" presName="Name10" presStyleLbl="parChTrans1D2" presStyleIdx="1" presStyleCnt="4"/>
      <dgm:spPr/>
      <dgm:t>
        <a:bodyPr/>
        <a:lstStyle/>
        <a:p>
          <a:endParaRPr lang="tr-TR"/>
        </a:p>
      </dgm:t>
    </dgm:pt>
    <dgm:pt modelId="{85A5035A-31CB-4C2C-8781-50C55CDB5B9A}" type="pres">
      <dgm:prSet presAssocID="{B7F65430-1BAA-42CB-BB83-77B385BF66A2}" presName="hierRoot2" presStyleCnt="0"/>
      <dgm:spPr/>
    </dgm:pt>
    <dgm:pt modelId="{8E2EF728-A71B-4BAF-9B89-9E27C0C10FC7}" type="pres">
      <dgm:prSet presAssocID="{B7F65430-1BAA-42CB-BB83-77B385BF66A2}" presName="composite2" presStyleCnt="0"/>
      <dgm:spPr/>
    </dgm:pt>
    <dgm:pt modelId="{35043FDA-DDFA-4CB0-9E53-33312D1439F6}" type="pres">
      <dgm:prSet presAssocID="{B7F65430-1BAA-42CB-BB83-77B385BF66A2}" presName="background2" presStyleLbl="node2" presStyleIdx="1" presStyleCnt="4"/>
      <dgm:spPr/>
    </dgm:pt>
    <dgm:pt modelId="{E615D15E-2190-48A3-8104-3FCCD9DA33B7}" type="pres">
      <dgm:prSet presAssocID="{B7F65430-1BAA-42CB-BB83-77B385BF66A2}" presName="text2" presStyleLbl="fgAcc2" presStyleIdx="1" presStyleCnt="4" custScaleX="52794" custScaleY="27862" custLinFactNeighborX="-1164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1D02BAA6-9A18-42BC-A3E5-6E166C7BA2DF}" type="pres">
      <dgm:prSet presAssocID="{B7F65430-1BAA-42CB-BB83-77B385BF66A2}" presName="hierChild3" presStyleCnt="0"/>
      <dgm:spPr/>
    </dgm:pt>
    <dgm:pt modelId="{643D08DB-0272-4A2A-B393-B87CEDB4124F}" type="pres">
      <dgm:prSet presAssocID="{923A44B7-5369-4A9A-BA66-6381A26F53C1}" presName="Name17" presStyleLbl="parChTrans1D3" presStyleIdx="1" presStyleCnt="4"/>
      <dgm:spPr/>
      <dgm:t>
        <a:bodyPr/>
        <a:lstStyle/>
        <a:p>
          <a:endParaRPr lang="tr-TR"/>
        </a:p>
      </dgm:t>
    </dgm:pt>
    <dgm:pt modelId="{78E5C2D0-4FE7-44AF-82EE-20143AD91955}" type="pres">
      <dgm:prSet presAssocID="{9A0B2C1D-D364-4CC8-8BFB-504C31777C8D}" presName="hierRoot3" presStyleCnt="0"/>
      <dgm:spPr/>
    </dgm:pt>
    <dgm:pt modelId="{7DA293CF-101A-41E8-B491-4E379C09ADEC}" type="pres">
      <dgm:prSet presAssocID="{9A0B2C1D-D364-4CC8-8BFB-504C31777C8D}" presName="composite3" presStyleCnt="0"/>
      <dgm:spPr/>
    </dgm:pt>
    <dgm:pt modelId="{3585C500-B20A-44DA-8DDD-4682036F0DEB}" type="pres">
      <dgm:prSet presAssocID="{9A0B2C1D-D364-4CC8-8BFB-504C31777C8D}" presName="background3" presStyleLbl="node3" presStyleIdx="1" presStyleCnt="4"/>
      <dgm:spPr/>
    </dgm:pt>
    <dgm:pt modelId="{A173A69F-0047-4C34-933B-80CDA60B2808}" type="pres">
      <dgm:prSet presAssocID="{9A0B2C1D-D364-4CC8-8BFB-504C31777C8D}" presName="text3" presStyleLbl="fgAcc3" presStyleIdx="1" presStyleCnt="4" custAng="0" custScaleX="99390" custScaleY="122919" custLinFactNeighborX="2567" custLinFactNeighborY="-17923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971C636D-D390-4509-B63E-2FA1854D8AB1}" type="pres">
      <dgm:prSet presAssocID="{9A0B2C1D-D364-4CC8-8BFB-504C31777C8D}" presName="hierChild4" presStyleCnt="0"/>
      <dgm:spPr/>
    </dgm:pt>
    <dgm:pt modelId="{CDBD69DE-3205-4A26-950C-DC85F31D726C}" type="pres">
      <dgm:prSet presAssocID="{0B7753EE-9A81-4E66-A0A3-03FA9D731F1B}" presName="Name10" presStyleLbl="parChTrans1D2" presStyleIdx="2" presStyleCnt="4"/>
      <dgm:spPr/>
      <dgm:t>
        <a:bodyPr/>
        <a:lstStyle/>
        <a:p>
          <a:endParaRPr lang="tr-TR"/>
        </a:p>
      </dgm:t>
    </dgm:pt>
    <dgm:pt modelId="{846BBB3D-45CE-4FA6-9145-D57115F48923}" type="pres">
      <dgm:prSet presAssocID="{EF371794-B443-493E-80C8-68C4D1DA9D5F}" presName="hierRoot2" presStyleCnt="0"/>
      <dgm:spPr/>
    </dgm:pt>
    <dgm:pt modelId="{60B6E645-DD4E-43F2-86EE-E6B5CBD0FC69}" type="pres">
      <dgm:prSet presAssocID="{EF371794-B443-493E-80C8-68C4D1DA9D5F}" presName="composite2" presStyleCnt="0"/>
      <dgm:spPr/>
    </dgm:pt>
    <dgm:pt modelId="{36B5A9D8-248D-4CD5-A092-99D2EC43ECF2}" type="pres">
      <dgm:prSet presAssocID="{EF371794-B443-493E-80C8-68C4D1DA9D5F}" presName="background2" presStyleLbl="node2" presStyleIdx="2" presStyleCnt="4"/>
      <dgm:spPr/>
    </dgm:pt>
    <dgm:pt modelId="{A782D336-A5AB-404E-B3A6-D7B096D48016}" type="pres">
      <dgm:prSet presAssocID="{EF371794-B443-493E-80C8-68C4D1DA9D5F}" presName="text2" presStyleLbl="fgAcc2" presStyleIdx="2" presStyleCnt="4" custScaleX="54902" custScaleY="28543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A56A880C-07F6-4388-9E1A-8F6811BEDB21}" type="pres">
      <dgm:prSet presAssocID="{EF371794-B443-493E-80C8-68C4D1DA9D5F}" presName="hierChild3" presStyleCnt="0"/>
      <dgm:spPr/>
    </dgm:pt>
    <dgm:pt modelId="{5085618A-A041-44F2-92AE-8693C192D4D2}" type="pres">
      <dgm:prSet presAssocID="{4841BF03-E7EB-4D8E-BA44-D0231A7B9E34}" presName="Name17" presStyleLbl="parChTrans1D3" presStyleIdx="2" presStyleCnt="4"/>
      <dgm:spPr/>
      <dgm:t>
        <a:bodyPr/>
        <a:lstStyle/>
        <a:p>
          <a:endParaRPr lang="tr-TR"/>
        </a:p>
      </dgm:t>
    </dgm:pt>
    <dgm:pt modelId="{96BACCCC-8772-4648-B07B-D19DDE798C40}" type="pres">
      <dgm:prSet presAssocID="{49305C62-7302-4AD1-8511-880CF4D311F0}" presName="hierRoot3" presStyleCnt="0"/>
      <dgm:spPr/>
    </dgm:pt>
    <dgm:pt modelId="{CE2A7B3C-339D-4734-BBDE-7DC50F8A859A}" type="pres">
      <dgm:prSet presAssocID="{49305C62-7302-4AD1-8511-880CF4D311F0}" presName="composite3" presStyleCnt="0"/>
      <dgm:spPr/>
    </dgm:pt>
    <dgm:pt modelId="{BF57F307-4331-4B49-ADC9-3546A99E61E0}" type="pres">
      <dgm:prSet presAssocID="{49305C62-7302-4AD1-8511-880CF4D311F0}" presName="background3" presStyleLbl="node3" presStyleIdx="2" presStyleCnt="4"/>
      <dgm:spPr/>
    </dgm:pt>
    <dgm:pt modelId="{A344D82D-7FC3-420E-AC29-B5F95C24DD58}" type="pres">
      <dgm:prSet presAssocID="{49305C62-7302-4AD1-8511-880CF4D311F0}" presName="text3" presStyleLbl="fgAcc3" presStyleIdx="2" presStyleCnt="4" custScaleX="93509" custScaleY="119916" custLinFactNeighborX="-1748" custLinFactNeighborY="-15768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0A8D7053-F681-4BA2-ADAD-32F69CA2F1C1}" type="pres">
      <dgm:prSet presAssocID="{49305C62-7302-4AD1-8511-880CF4D311F0}" presName="hierChild4" presStyleCnt="0"/>
      <dgm:spPr/>
    </dgm:pt>
    <dgm:pt modelId="{96AF5D4E-2B9E-4D13-9F15-32C05E5D95DA}" type="pres">
      <dgm:prSet presAssocID="{1EDBCE56-1E38-45BF-86E1-1A54F4CBDC06}" presName="Name10" presStyleLbl="parChTrans1D2" presStyleIdx="3" presStyleCnt="4"/>
      <dgm:spPr/>
      <dgm:t>
        <a:bodyPr/>
        <a:lstStyle/>
        <a:p>
          <a:endParaRPr lang="tr-TR"/>
        </a:p>
      </dgm:t>
    </dgm:pt>
    <dgm:pt modelId="{2EBF66F6-E7BF-43B6-AB4B-0FD946C4E58A}" type="pres">
      <dgm:prSet presAssocID="{E392BEEC-034B-4EDF-B90D-95DC88EF21F8}" presName="hierRoot2" presStyleCnt="0"/>
      <dgm:spPr/>
    </dgm:pt>
    <dgm:pt modelId="{3C43828B-2A27-4D6C-847E-C49420270B19}" type="pres">
      <dgm:prSet presAssocID="{E392BEEC-034B-4EDF-B90D-95DC88EF21F8}" presName="composite2" presStyleCnt="0"/>
      <dgm:spPr/>
    </dgm:pt>
    <dgm:pt modelId="{25F398B0-1350-4310-8A5E-9EC4A1B0CEEB}" type="pres">
      <dgm:prSet presAssocID="{E392BEEC-034B-4EDF-B90D-95DC88EF21F8}" presName="background2" presStyleLbl="node2" presStyleIdx="3" presStyleCnt="4"/>
      <dgm:spPr/>
    </dgm:pt>
    <dgm:pt modelId="{AA8B308A-07EB-453C-8CD7-B791B8BA2F01}" type="pres">
      <dgm:prSet presAssocID="{E392BEEC-034B-4EDF-B90D-95DC88EF21F8}" presName="text2" presStyleLbl="fgAcc2" presStyleIdx="3" presStyleCnt="4" custAng="0" custScaleX="54864" custScaleY="26660" custLinFactNeighborX="-9314" custLinFactNeighborY="-367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B91CBEE5-E426-4D91-8EEC-C034BB9E3175}" type="pres">
      <dgm:prSet presAssocID="{E392BEEC-034B-4EDF-B90D-95DC88EF21F8}" presName="hierChild3" presStyleCnt="0"/>
      <dgm:spPr/>
    </dgm:pt>
    <dgm:pt modelId="{2A439A48-DAF4-4545-9890-4A65755A8A08}" type="pres">
      <dgm:prSet presAssocID="{96FBCFAA-E863-4CCF-8419-F2F8B23341B7}" presName="Name17" presStyleLbl="parChTrans1D3" presStyleIdx="3" presStyleCnt="4"/>
      <dgm:spPr/>
      <dgm:t>
        <a:bodyPr/>
        <a:lstStyle/>
        <a:p>
          <a:endParaRPr lang="tr-TR"/>
        </a:p>
      </dgm:t>
    </dgm:pt>
    <dgm:pt modelId="{46D4C5AB-AC74-44CE-B48B-94AFA6C408C8}" type="pres">
      <dgm:prSet presAssocID="{C9E16AC0-EDBF-43D6-A9B9-C8F7EDA775F3}" presName="hierRoot3" presStyleCnt="0"/>
      <dgm:spPr/>
    </dgm:pt>
    <dgm:pt modelId="{581950B6-125B-4D15-9693-A3DC040B5828}" type="pres">
      <dgm:prSet presAssocID="{C9E16AC0-EDBF-43D6-A9B9-C8F7EDA775F3}" presName="composite3" presStyleCnt="0"/>
      <dgm:spPr/>
    </dgm:pt>
    <dgm:pt modelId="{498EC529-B17B-4182-B610-E33C58463160}" type="pres">
      <dgm:prSet presAssocID="{C9E16AC0-EDBF-43D6-A9B9-C8F7EDA775F3}" presName="background3" presStyleLbl="node3" presStyleIdx="3" presStyleCnt="4"/>
      <dgm:spPr/>
    </dgm:pt>
    <dgm:pt modelId="{13B5936E-C15B-435B-9A90-C2DB3BA96126}" type="pres">
      <dgm:prSet presAssocID="{C9E16AC0-EDBF-43D6-A9B9-C8F7EDA775F3}" presName="text3" presStyleLbl="fgAcc3" presStyleIdx="3" presStyleCnt="4" custScaleX="96207" custScaleY="181506" custLinFactNeighborX="-10114" custLinFactNeighborY="-28851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7C2E674F-7F89-4C93-A9D9-C204E3755C4C}" type="pres">
      <dgm:prSet presAssocID="{C9E16AC0-EDBF-43D6-A9B9-C8F7EDA775F3}" presName="hierChild4" presStyleCnt="0"/>
      <dgm:spPr/>
    </dgm:pt>
  </dgm:ptLst>
  <dgm:cxnLst>
    <dgm:cxn modelId="{8D8ECDA6-B0D8-41F1-A873-3F4D34B67D03}" srcId="{68EB16D2-617D-43F6-AB05-3E657A1A269D}" destId="{529FA4ED-441C-4EE8-9DE3-E29122D8476D}" srcOrd="0" destOrd="0" parTransId="{B61659C0-BDA5-481B-8614-6D990EE0CC63}" sibTransId="{6C1C566D-3F4D-4D92-81DB-05A308A08605}"/>
    <dgm:cxn modelId="{519E5179-8B80-4068-BA57-8B3415CE3707}" srcId="{EF371794-B443-493E-80C8-68C4D1DA9D5F}" destId="{49305C62-7302-4AD1-8511-880CF4D311F0}" srcOrd="0" destOrd="0" parTransId="{4841BF03-E7EB-4D8E-BA44-D0231A7B9E34}" sibTransId="{3E74BE94-538C-4701-B9F0-85033E57CBD4}"/>
    <dgm:cxn modelId="{BB76A438-BF60-465D-86DB-BFB7BE5E8194}" type="presOf" srcId="{B7F65430-1BAA-42CB-BB83-77B385BF66A2}" destId="{E615D15E-2190-48A3-8104-3FCCD9DA33B7}" srcOrd="0" destOrd="0" presId="urn:microsoft.com/office/officeart/2005/8/layout/hierarchy1"/>
    <dgm:cxn modelId="{E5785F93-449B-43D3-BE70-83454E17C7FB}" type="presOf" srcId="{923A44B7-5369-4A9A-BA66-6381A26F53C1}" destId="{643D08DB-0272-4A2A-B393-B87CEDB4124F}" srcOrd="0" destOrd="0" presId="urn:microsoft.com/office/officeart/2005/8/layout/hierarchy1"/>
    <dgm:cxn modelId="{C74F2A9E-D40E-436F-82BD-6013E5E0161C}" srcId="{68EB16D2-617D-43F6-AB05-3E657A1A269D}" destId="{E392BEEC-034B-4EDF-B90D-95DC88EF21F8}" srcOrd="3" destOrd="0" parTransId="{1EDBCE56-1E38-45BF-86E1-1A54F4CBDC06}" sibTransId="{51899F81-4AB7-4644-B1F6-37D907742719}"/>
    <dgm:cxn modelId="{AF217BD3-909F-4F57-AF8B-B06FE509B3AB}" srcId="{529FA4ED-441C-4EE8-9DE3-E29122D8476D}" destId="{F0396DC8-23C0-47FE-9251-16D63FB6F583}" srcOrd="0" destOrd="0" parTransId="{5246AA74-D94A-43F4-BAC5-A5C5A4B09747}" sibTransId="{A62528ED-F7B6-4611-9FA4-84624EE894A4}"/>
    <dgm:cxn modelId="{1E28A40E-F569-42B5-B73A-B634014FE8AD}" type="presOf" srcId="{529FA4ED-441C-4EE8-9DE3-E29122D8476D}" destId="{50E1FC2A-5365-46C3-B468-DDAE32676248}" srcOrd="0" destOrd="0" presId="urn:microsoft.com/office/officeart/2005/8/layout/hierarchy1"/>
    <dgm:cxn modelId="{12D96EF1-A483-49F7-822D-521253FBD152}" type="presOf" srcId="{49305C62-7302-4AD1-8511-880CF4D311F0}" destId="{A344D82D-7FC3-420E-AC29-B5F95C24DD58}" srcOrd="0" destOrd="0" presId="urn:microsoft.com/office/officeart/2005/8/layout/hierarchy1"/>
    <dgm:cxn modelId="{47BD1644-3404-46B6-B612-270A325EEA14}" type="presOf" srcId="{96FBCFAA-E863-4CCF-8419-F2F8B23341B7}" destId="{2A439A48-DAF4-4545-9890-4A65755A8A08}" srcOrd="0" destOrd="0" presId="urn:microsoft.com/office/officeart/2005/8/layout/hierarchy1"/>
    <dgm:cxn modelId="{42B4F613-BD84-4AF1-94C7-C9EF448B4906}" type="presOf" srcId="{0B7753EE-9A81-4E66-A0A3-03FA9D731F1B}" destId="{CDBD69DE-3205-4A26-950C-DC85F31D726C}" srcOrd="0" destOrd="0" presId="urn:microsoft.com/office/officeart/2005/8/layout/hierarchy1"/>
    <dgm:cxn modelId="{0003E27F-4640-41DD-8CC4-221741AB06B9}" type="presOf" srcId="{42F6D68A-E739-4F3C-BE19-B430566A9890}" destId="{8C427947-512B-438A-B3FF-A4BED7AD87C7}" srcOrd="0" destOrd="0" presId="urn:microsoft.com/office/officeart/2005/8/layout/hierarchy1"/>
    <dgm:cxn modelId="{D72DF712-F9A4-476C-A5CF-BD9FAB519AF3}" srcId="{E392BEEC-034B-4EDF-B90D-95DC88EF21F8}" destId="{C9E16AC0-EDBF-43D6-A9B9-C8F7EDA775F3}" srcOrd="0" destOrd="0" parTransId="{96FBCFAA-E863-4CCF-8419-F2F8B23341B7}" sibTransId="{247903D5-86E9-4B9E-B704-BACCA10DD736}"/>
    <dgm:cxn modelId="{C2C5A793-A08A-4C31-8D02-2BE450171F97}" srcId="{7987DF64-A908-404A-911C-14B426F2C6C5}" destId="{68EB16D2-617D-43F6-AB05-3E657A1A269D}" srcOrd="0" destOrd="0" parTransId="{B18A813C-1376-49F0-86A0-1CF4BBCC1316}" sibTransId="{37F939AE-A065-413E-A5C9-85F7C02B1337}"/>
    <dgm:cxn modelId="{108A97A3-9428-436A-9993-BD4B57F9A571}" srcId="{B7F65430-1BAA-42CB-BB83-77B385BF66A2}" destId="{9A0B2C1D-D364-4CC8-8BFB-504C31777C8D}" srcOrd="0" destOrd="0" parTransId="{923A44B7-5369-4A9A-BA66-6381A26F53C1}" sibTransId="{8915DC0A-8A59-4727-B1B2-19904BE47228}"/>
    <dgm:cxn modelId="{D20664DD-4E5A-46FD-8E97-484C59B87357}" type="presOf" srcId="{E392BEEC-034B-4EDF-B90D-95DC88EF21F8}" destId="{AA8B308A-07EB-453C-8CD7-B791B8BA2F01}" srcOrd="0" destOrd="0" presId="urn:microsoft.com/office/officeart/2005/8/layout/hierarchy1"/>
    <dgm:cxn modelId="{7DFCD6BA-654D-44CE-B8DD-8A1BDCAB60AC}" type="presOf" srcId="{EF371794-B443-493E-80C8-68C4D1DA9D5F}" destId="{A782D336-A5AB-404E-B3A6-D7B096D48016}" srcOrd="0" destOrd="0" presId="urn:microsoft.com/office/officeart/2005/8/layout/hierarchy1"/>
    <dgm:cxn modelId="{45B5CE9C-14E8-4BBE-A980-CB8A8ACFC74B}" type="presOf" srcId="{5246AA74-D94A-43F4-BAC5-A5C5A4B09747}" destId="{743EE829-FB9B-4964-A440-B13AF2E61BE2}" srcOrd="0" destOrd="0" presId="urn:microsoft.com/office/officeart/2005/8/layout/hierarchy1"/>
    <dgm:cxn modelId="{7DF21CB3-ACC5-4B70-9865-E46F1D379A1A}" srcId="{68EB16D2-617D-43F6-AB05-3E657A1A269D}" destId="{B7F65430-1BAA-42CB-BB83-77B385BF66A2}" srcOrd="1" destOrd="0" parTransId="{42F6D68A-E739-4F3C-BE19-B430566A9890}" sibTransId="{9BF72E29-6544-42C2-A710-8DF8B9B7FCBF}"/>
    <dgm:cxn modelId="{9B038085-D19A-4393-9DBA-CECD9B281722}" type="presOf" srcId="{1EDBCE56-1E38-45BF-86E1-1A54F4CBDC06}" destId="{96AF5D4E-2B9E-4D13-9F15-32C05E5D95DA}" srcOrd="0" destOrd="0" presId="urn:microsoft.com/office/officeart/2005/8/layout/hierarchy1"/>
    <dgm:cxn modelId="{2D5A2994-4977-4E1E-A2CF-B9823F6EDBE5}" srcId="{68EB16D2-617D-43F6-AB05-3E657A1A269D}" destId="{EF371794-B443-493E-80C8-68C4D1DA9D5F}" srcOrd="2" destOrd="0" parTransId="{0B7753EE-9A81-4E66-A0A3-03FA9D731F1B}" sibTransId="{671E473E-A0DD-4BB2-9209-FA702EA067FA}"/>
    <dgm:cxn modelId="{CF7BCE67-1111-4FC4-9B69-987EDE88F370}" type="presOf" srcId="{C9E16AC0-EDBF-43D6-A9B9-C8F7EDA775F3}" destId="{13B5936E-C15B-435B-9A90-C2DB3BA96126}" srcOrd="0" destOrd="0" presId="urn:microsoft.com/office/officeart/2005/8/layout/hierarchy1"/>
    <dgm:cxn modelId="{D5717523-8B2F-4105-9FBF-1D27C27DA794}" type="presOf" srcId="{4841BF03-E7EB-4D8E-BA44-D0231A7B9E34}" destId="{5085618A-A041-44F2-92AE-8693C192D4D2}" srcOrd="0" destOrd="0" presId="urn:microsoft.com/office/officeart/2005/8/layout/hierarchy1"/>
    <dgm:cxn modelId="{46161937-B1D1-4095-8F64-ACE0B2E5712D}" type="presOf" srcId="{68EB16D2-617D-43F6-AB05-3E657A1A269D}" destId="{7612D5E3-3D9E-45C0-9295-81648B85C2ED}" srcOrd="0" destOrd="0" presId="urn:microsoft.com/office/officeart/2005/8/layout/hierarchy1"/>
    <dgm:cxn modelId="{267C756A-8B31-4307-BC34-32F0BAF3AC95}" type="presOf" srcId="{B61659C0-BDA5-481B-8614-6D990EE0CC63}" destId="{5ADA2A19-D6C0-47E4-B929-E037B1D2E870}" srcOrd="0" destOrd="0" presId="urn:microsoft.com/office/officeart/2005/8/layout/hierarchy1"/>
    <dgm:cxn modelId="{17338595-39A6-46F0-AD5E-B5C555DECACD}" type="presOf" srcId="{F0396DC8-23C0-47FE-9251-16D63FB6F583}" destId="{AB9478C5-4F39-4102-B725-01B35BBB70AF}" srcOrd="0" destOrd="0" presId="urn:microsoft.com/office/officeart/2005/8/layout/hierarchy1"/>
    <dgm:cxn modelId="{C556ABD9-9C98-4498-BD1D-0BAFC50B5264}" type="presOf" srcId="{7987DF64-A908-404A-911C-14B426F2C6C5}" destId="{5003A541-CA04-4BA7-B294-BA8BBA9A08F1}" srcOrd="0" destOrd="0" presId="urn:microsoft.com/office/officeart/2005/8/layout/hierarchy1"/>
    <dgm:cxn modelId="{3E8D51E9-4088-49B7-AABB-3A2C388C7F11}" type="presOf" srcId="{9A0B2C1D-D364-4CC8-8BFB-504C31777C8D}" destId="{A173A69F-0047-4C34-933B-80CDA60B2808}" srcOrd="0" destOrd="0" presId="urn:microsoft.com/office/officeart/2005/8/layout/hierarchy1"/>
    <dgm:cxn modelId="{5E61964D-2CB5-46FC-90CA-CF8D57EB07FC}" type="presParOf" srcId="{5003A541-CA04-4BA7-B294-BA8BBA9A08F1}" destId="{C76A271A-2282-4882-BE57-BE7E4230316A}" srcOrd="0" destOrd="0" presId="urn:microsoft.com/office/officeart/2005/8/layout/hierarchy1"/>
    <dgm:cxn modelId="{E7BD7CD2-BED9-44E8-9547-25965A740989}" type="presParOf" srcId="{C76A271A-2282-4882-BE57-BE7E4230316A}" destId="{62AB688B-4E4C-40B2-A26C-754688103B3C}" srcOrd="0" destOrd="0" presId="urn:microsoft.com/office/officeart/2005/8/layout/hierarchy1"/>
    <dgm:cxn modelId="{6891A9DC-87B5-41C6-8E48-0D70D960A118}" type="presParOf" srcId="{62AB688B-4E4C-40B2-A26C-754688103B3C}" destId="{2B0626AF-3B1F-4E07-906D-718D97272F60}" srcOrd="0" destOrd="0" presId="urn:microsoft.com/office/officeart/2005/8/layout/hierarchy1"/>
    <dgm:cxn modelId="{384D4828-8585-401E-85D3-48AA31576A11}" type="presParOf" srcId="{62AB688B-4E4C-40B2-A26C-754688103B3C}" destId="{7612D5E3-3D9E-45C0-9295-81648B85C2ED}" srcOrd="1" destOrd="0" presId="urn:microsoft.com/office/officeart/2005/8/layout/hierarchy1"/>
    <dgm:cxn modelId="{82D266D5-39A8-4FFE-AD80-059FB8DB5240}" type="presParOf" srcId="{C76A271A-2282-4882-BE57-BE7E4230316A}" destId="{6D763E17-0B42-4750-91BF-8E947E2060F2}" srcOrd="1" destOrd="0" presId="urn:microsoft.com/office/officeart/2005/8/layout/hierarchy1"/>
    <dgm:cxn modelId="{0EF35122-FC39-400A-B4FD-9CBC47B74596}" type="presParOf" srcId="{6D763E17-0B42-4750-91BF-8E947E2060F2}" destId="{5ADA2A19-D6C0-47E4-B929-E037B1D2E870}" srcOrd="0" destOrd="0" presId="urn:microsoft.com/office/officeart/2005/8/layout/hierarchy1"/>
    <dgm:cxn modelId="{466DDD81-6871-4AA7-B461-C11CCCDEBF24}" type="presParOf" srcId="{6D763E17-0B42-4750-91BF-8E947E2060F2}" destId="{23E80478-2A4A-4EC4-AEB5-6AAD8BBF87C1}" srcOrd="1" destOrd="0" presId="urn:microsoft.com/office/officeart/2005/8/layout/hierarchy1"/>
    <dgm:cxn modelId="{BEC902AD-EB40-44C2-A908-063F7F9EEB64}" type="presParOf" srcId="{23E80478-2A4A-4EC4-AEB5-6AAD8BBF87C1}" destId="{C59DFB25-F551-4707-99DF-F3CF4BA194E4}" srcOrd="0" destOrd="0" presId="urn:microsoft.com/office/officeart/2005/8/layout/hierarchy1"/>
    <dgm:cxn modelId="{C32351E4-53C0-4C51-8B9C-2287E5F70E92}" type="presParOf" srcId="{C59DFB25-F551-4707-99DF-F3CF4BA194E4}" destId="{DB9EAC05-D3B4-4AC9-9C96-A7998C8AD276}" srcOrd="0" destOrd="0" presId="urn:microsoft.com/office/officeart/2005/8/layout/hierarchy1"/>
    <dgm:cxn modelId="{3B28C1E2-BB8C-4E2E-8F8C-D995E33EF7A2}" type="presParOf" srcId="{C59DFB25-F551-4707-99DF-F3CF4BA194E4}" destId="{50E1FC2A-5365-46C3-B468-DDAE32676248}" srcOrd="1" destOrd="0" presId="urn:microsoft.com/office/officeart/2005/8/layout/hierarchy1"/>
    <dgm:cxn modelId="{1A5CF516-C590-4A58-98F2-02FCDA87B27F}" type="presParOf" srcId="{23E80478-2A4A-4EC4-AEB5-6AAD8BBF87C1}" destId="{264C9568-98F1-4F3F-8C5F-42B3D3A06E8B}" srcOrd="1" destOrd="0" presId="urn:microsoft.com/office/officeart/2005/8/layout/hierarchy1"/>
    <dgm:cxn modelId="{FE719D4C-A8FC-4ED6-B8EA-403BAAEDF418}" type="presParOf" srcId="{264C9568-98F1-4F3F-8C5F-42B3D3A06E8B}" destId="{743EE829-FB9B-4964-A440-B13AF2E61BE2}" srcOrd="0" destOrd="0" presId="urn:microsoft.com/office/officeart/2005/8/layout/hierarchy1"/>
    <dgm:cxn modelId="{BBC76224-AF02-4A67-B6B4-DDE47C3B3CAE}" type="presParOf" srcId="{264C9568-98F1-4F3F-8C5F-42B3D3A06E8B}" destId="{8AA4DD1E-82A9-4F39-A357-18D95CA138A8}" srcOrd="1" destOrd="0" presId="urn:microsoft.com/office/officeart/2005/8/layout/hierarchy1"/>
    <dgm:cxn modelId="{DBE24778-1FB5-4239-9575-4FA0552A9267}" type="presParOf" srcId="{8AA4DD1E-82A9-4F39-A357-18D95CA138A8}" destId="{C19A4ADD-519F-4687-8990-60E83A53D64A}" srcOrd="0" destOrd="0" presId="urn:microsoft.com/office/officeart/2005/8/layout/hierarchy1"/>
    <dgm:cxn modelId="{965E6BA7-680B-4389-85A4-2417F866FAC1}" type="presParOf" srcId="{C19A4ADD-519F-4687-8990-60E83A53D64A}" destId="{2FBF11D0-43EC-4117-BB27-1BC27268D9E5}" srcOrd="0" destOrd="0" presId="urn:microsoft.com/office/officeart/2005/8/layout/hierarchy1"/>
    <dgm:cxn modelId="{C1165FD6-EBDB-4173-AF92-E82A04F6E10A}" type="presParOf" srcId="{C19A4ADD-519F-4687-8990-60E83A53D64A}" destId="{AB9478C5-4F39-4102-B725-01B35BBB70AF}" srcOrd="1" destOrd="0" presId="urn:microsoft.com/office/officeart/2005/8/layout/hierarchy1"/>
    <dgm:cxn modelId="{1BF08F88-5706-4EFE-819A-EE856BA81CC0}" type="presParOf" srcId="{8AA4DD1E-82A9-4F39-A357-18D95CA138A8}" destId="{7E4EBAF9-1D69-424A-8912-322CF23BAA2D}" srcOrd="1" destOrd="0" presId="urn:microsoft.com/office/officeart/2005/8/layout/hierarchy1"/>
    <dgm:cxn modelId="{11227490-4184-41A8-907E-73E1C237F667}" type="presParOf" srcId="{6D763E17-0B42-4750-91BF-8E947E2060F2}" destId="{8C427947-512B-438A-B3FF-A4BED7AD87C7}" srcOrd="2" destOrd="0" presId="urn:microsoft.com/office/officeart/2005/8/layout/hierarchy1"/>
    <dgm:cxn modelId="{95378AAA-346C-471D-945C-3E3764219B01}" type="presParOf" srcId="{6D763E17-0B42-4750-91BF-8E947E2060F2}" destId="{85A5035A-31CB-4C2C-8781-50C55CDB5B9A}" srcOrd="3" destOrd="0" presId="urn:microsoft.com/office/officeart/2005/8/layout/hierarchy1"/>
    <dgm:cxn modelId="{976BDB78-F4A0-4E2C-B8F6-2B500420E75C}" type="presParOf" srcId="{85A5035A-31CB-4C2C-8781-50C55CDB5B9A}" destId="{8E2EF728-A71B-4BAF-9B89-9E27C0C10FC7}" srcOrd="0" destOrd="0" presId="urn:microsoft.com/office/officeart/2005/8/layout/hierarchy1"/>
    <dgm:cxn modelId="{4D08A3A9-B5EE-4A89-B1A4-220C647E0B53}" type="presParOf" srcId="{8E2EF728-A71B-4BAF-9B89-9E27C0C10FC7}" destId="{35043FDA-DDFA-4CB0-9E53-33312D1439F6}" srcOrd="0" destOrd="0" presId="urn:microsoft.com/office/officeart/2005/8/layout/hierarchy1"/>
    <dgm:cxn modelId="{2156438F-592F-4027-AED4-7C0E1D18D9D8}" type="presParOf" srcId="{8E2EF728-A71B-4BAF-9B89-9E27C0C10FC7}" destId="{E615D15E-2190-48A3-8104-3FCCD9DA33B7}" srcOrd="1" destOrd="0" presId="urn:microsoft.com/office/officeart/2005/8/layout/hierarchy1"/>
    <dgm:cxn modelId="{D1837832-92EF-48C5-886E-62AA393D4672}" type="presParOf" srcId="{85A5035A-31CB-4C2C-8781-50C55CDB5B9A}" destId="{1D02BAA6-9A18-42BC-A3E5-6E166C7BA2DF}" srcOrd="1" destOrd="0" presId="urn:microsoft.com/office/officeart/2005/8/layout/hierarchy1"/>
    <dgm:cxn modelId="{1410FC35-9774-4CD1-917D-D90281A1C70A}" type="presParOf" srcId="{1D02BAA6-9A18-42BC-A3E5-6E166C7BA2DF}" destId="{643D08DB-0272-4A2A-B393-B87CEDB4124F}" srcOrd="0" destOrd="0" presId="urn:microsoft.com/office/officeart/2005/8/layout/hierarchy1"/>
    <dgm:cxn modelId="{45A9D5EB-BD49-4657-B8CF-3BF84F6E16F2}" type="presParOf" srcId="{1D02BAA6-9A18-42BC-A3E5-6E166C7BA2DF}" destId="{78E5C2D0-4FE7-44AF-82EE-20143AD91955}" srcOrd="1" destOrd="0" presId="urn:microsoft.com/office/officeart/2005/8/layout/hierarchy1"/>
    <dgm:cxn modelId="{3F1E15BE-1C57-4A64-93FE-285016D0AB16}" type="presParOf" srcId="{78E5C2D0-4FE7-44AF-82EE-20143AD91955}" destId="{7DA293CF-101A-41E8-B491-4E379C09ADEC}" srcOrd="0" destOrd="0" presId="urn:microsoft.com/office/officeart/2005/8/layout/hierarchy1"/>
    <dgm:cxn modelId="{BD32D657-6DA4-494E-816C-7A894A355C41}" type="presParOf" srcId="{7DA293CF-101A-41E8-B491-4E379C09ADEC}" destId="{3585C500-B20A-44DA-8DDD-4682036F0DEB}" srcOrd="0" destOrd="0" presId="urn:microsoft.com/office/officeart/2005/8/layout/hierarchy1"/>
    <dgm:cxn modelId="{AD3A0E2E-72B6-49EF-98C7-BE964A68A060}" type="presParOf" srcId="{7DA293CF-101A-41E8-B491-4E379C09ADEC}" destId="{A173A69F-0047-4C34-933B-80CDA60B2808}" srcOrd="1" destOrd="0" presId="urn:microsoft.com/office/officeart/2005/8/layout/hierarchy1"/>
    <dgm:cxn modelId="{050282DF-E00F-4C00-AC95-9F51544B4BC2}" type="presParOf" srcId="{78E5C2D0-4FE7-44AF-82EE-20143AD91955}" destId="{971C636D-D390-4509-B63E-2FA1854D8AB1}" srcOrd="1" destOrd="0" presId="urn:microsoft.com/office/officeart/2005/8/layout/hierarchy1"/>
    <dgm:cxn modelId="{84620595-F30B-40A4-8B0D-181F580E0971}" type="presParOf" srcId="{6D763E17-0B42-4750-91BF-8E947E2060F2}" destId="{CDBD69DE-3205-4A26-950C-DC85F31D726C}" srcOrd="4" destOrd="0" presId="urn:microsoft.com/office/officeart/2005/8/layout/hierarchy1"/>
    <dgm:cxn modelId="{FA6E478B-FA93-4CD4-8B41-FA25C5A27EE4}" type="presParOf" srcId="{6D763E17-0B42-4750-91BF-8E947E2060F2}" destId="{846BBB3D-45CE-4FA6-9145-D57115F48923}" srcOrd="5" destOrd="0" presId="urn:microsoft.com/office/officeart/2005/8/layout/hierarchy1"/>
    <dgm:cxn modelId="{D30EF63C-AAAE-4C71-85A0-EF22E3320656}" type="presParOf" srcId="{846BBB3D-45CE-4FA6-9145-D57115F48923}" destId="{60B6E645-DD4E-43F2-86EE-E6B5CBD0FC69}" srcOrd="0" destOrd="0" presId="urn:microsoft.com/office/officeart/2005/8/layout/hierarchy1"/>
    <dgm:cxn modelId="{BF48CA49-E759-4B59-806E-0788BBCB28AF}" type="presParOf" srcId="{60B6E645-DD4E-43F2-86EE-E6B5CBD0FC69}" destId="{36B5A9D8-248D-4CD5-A092-99D2EC43ECF2}" srcOrd="0" destOrd="0" presId="urn:microsoft.com/office/officeart/2005/8/layout/hierarchy1"/>
    <dgm:cxn modelId="{F35EAF72-CD69-4903-BB6D-FB6A6640280C}" type="presParOf" srcId="{60B6E645-DD4E-43F2-86EE-E6B5CBD0FC69}" destId="{A782D336-A5AB-404E-B3A6-D7B096D48016}" srcOrd="1" destOrd="0" presId="urn:microsoft.com/office/officeart/2005/8/layout/hierarchy1"/>
    <dgm:cxn modelId="{EE7DDAC1-E4A9-42D7-9E10-0E134CE8596F}" type="presParOf" srcId="{846BBB3D-45CE-4FA6-9145-D57115F48923}" destId="{A56A880C-07F6-4388-9E1A-8F6811BEDB21}" srcOrd="1" destOrd="0" presId="urn:microsoft.com/office/officeart/2005/8/layout/hierarchy1"/>
    <dgm:cxn modelId="{AEAE7F69-2807-4F0D-8329-3E5AB63B1693}" type="presParOf" srcId="{A56A880C-07F6-4388-9E1A-8F6811BEDB21}" destId="{5085618A-A041-44F2-92AE-8693C192D4D2}" srcOrd="0" destOrd="0" presId="urn:microsoft.com/office/officeart/2005/8/layout/hierarchy1"/>
    <dgm:cxn modelId="{209BA48F-5D11-407E-B113-457B44FF991B}" type="presParOf" srcId="{A56A880C-07F6-4388-9E1A-8F6811BEDB21}" destId="{96BACCCC-8772-4648-B07B-D19DDE798C40}" srcOrd="1" destOrd="0" presId="urn:microsoft.com/office/officeart/2005/8/layout/hierarchy1"/>
    <dgm:cxn modelId="{73F43E41-4F42-4ED4-BC9B-E33F50D0427C}" type="presParOf" srcId="{96BACCCC-8772-4648-B07B-D19DDE798C40}" destId="{CE2A7B3C-339D-4734-BBDE-7DC50F8A859A}" srcOrd="0" destOrd="0" presId="urn:microsoft.com/office/officeart/2005/8/layout/hierarchy1"/>
    <dgm:cxn modelId="{0EA5D959-2C54-4A4C-9F37-3A56950A5E47}" type="presParOf" srcId="{CE2A7B3C-339D-4734-BBDE-7DC50F8A859A}" destId="{BF57F307-4331-4B49-ADC9-3546A99E61E0}" srcOrd="0" destOrd="0" presId="urn:microsoft.com/office/officeart/2005/8/layout/hierarchy1"/>
    <dgm:cxn modelId="{A785BB38-4ED3-469F-BBC5-CAB38EA5610A}" type="presParOf" srcId="{CE2A7B3C-339D-4734-BBDE-7DC50F8A859A}" destId="{A344D82D-7FC3-420E-AC29-B5F95C24DD58}" srcOrd="1" destOrd="0" presId="urn:microsoft.com/office/officeart/2005/8/layout/hierarchy1"/>
    <dgm:cxn modelId="{A9242F27-1F19-4D87-B578-BDECC0D603F1}" type="presParOf" srcId="{96BACCCC-8772-4648-B07B-D19DDE798C40}" destId="{0A8D7053-F681-4BA2-ADAD-32F69CA2F1C1}" srcOrd="1" destOrd="0" presId="urn:microsoft.com/office/officeart/2005/8/layout/hierarchy1"/>
    <dgm:cxn modelId="{8255618E-2D8C-4FD9-9A8D-9435D85E8F23}" type="presParOf" srcId="{6D763E17-0B42-4750-91BF-8E947E2060F2}" destId="{96AF5D4E-2B9E-4D13-9F15-32C05E5D95DA}" srcOrd="6" destOrd="0" presId="urn:microsoft.com/office/officeart/2005/8/layout/hierarchy1"/>
    <dgm:cxn modelId="{D66CA8E2-014C-45BF-AE72-31F191773DB5}" type="presParOf" srcId="{6D763E17-0B42-4750-91BF-8E947E2060F2}" destId="{2EBF66F6-E7BF-43B6-AB4B-0FD946C4E58A}" srcOrd="7" destOrd="0" presId="urn:microsoft.com/office/officeart/2005/8/layout/hierarchy1"/>
    <dgm:cxn modelId="{A293D618-426E-4CD0-8E7C-3BB2AF6FD2DB}" type="presParOf" srcId="{2EBF66F6-E7BF-43B6-AB4B-0FD946C4E58A}" destId="{3C43828B-2A27-4D6C-847E-C49420270B19}" srcOrd="0" destOrd="0" presId="urn:microsoft.com/office/officeart/2005/8/layout/hierarchy1"/>
    <dgm:cxn modelId="{A0E0D142-0799-4489-A527-9F121B3FD6A4}" type="presParOf" srcId="{3C43828B-2A27-4D6C-847E-C49420270B19}" destId="{25F398B0-1350-4310-8A5E-9EC4A1B0CEEB}" srcOrd="0" destOrd="0" presId="urn:microsoft.com/office/officeart/2005/8/layout/hierarchy1"/>
    <dgm:cxn modelId="{C5C295A1-A8B5-4D1F-99ED-297B43A39227}" type="presParOf" srcId="{3C43828B-2A27-4D6C-847E-C49420270B19}" destId="{AA8B308A-07EB-453C-8CD7-B791B8BA2F01}" srcOrd="1" destOrd="0" presId="urn:microsoft.com/office/officeart/2005/8/layout/hierarchy1"/>
    <dgm:cxn modelId="{F820B608-17D7-45E1-A9BF-36AF54A50E05}" type="presParOf" srcId="{2EBF66F6-E7BF-43B6-AB4B-0FD946C4E58A}" destId="{B91CBEE5-E426-4D91-8EEC-C034BB9E3175}" srcOrd="1" destOrd="0" presId="urn:microsoft.com/office/officeart/2005/8/layout/hierarchy1"/>
    <dgm:cxn modelId="{806086E7-26AE-4057-A3F4-4C4ADB2832DA}" type="presParOf" srcId="{B91CBEE5-E426-4D91-8EEC-C034BB9E3175}" destId="{2A439A48-DAF4-4545-9890-4A65755A8A08}" srcOrd="0" destOrd="0" presId="urn:microsoft.com/office/officeart/2005/8/layout/hierarchy1"/>
    <dgm:cxn modelId="{B3834EC5-F3DA-4C38-B4B6-362BBFF09508}" type="presParOf" srcId="{B91CBEE5-E426-4D91-8EEC-C034BB9E3175}" destId="{46D4C5AB-AC74-44CE-B48B-94AFA6C408C8}" srcOrd="1" destOrd="0" presId="urn:microsoft.com/office/officeart/2005/8/layout/hierarchy1"/>
    <dgm:cxn modelId="{59FDEE4F-F657-45F3-93DC-35C95B965768}" type="presParOf" srcId="{46D4C5AB-AC74-44CE-B48B-94AFA6C408C8}" destId="{581950B6-125B-4D15-9693-A3DC040B5828}" srcOrd="0" destOrd="0" presId="urn:microsoft.com/office/officeart/2005/8/layout/hierarchy1"/>
    <dgm:cxn modelId="{660FF1C5-F0CA-4BE6-8F7F-004A01845F41}" type="presParOf" srcId="{581950B6-125B-4D15-9693-A3DC040B5828}" destId="{498EC529-B17B-4182-B610-E33C58463160}" srcOrd="0" destOrd="0" presId="urn:microsoft.com/office/officeart/2005/8/layout/hierarchy1"/>
    <dgm:cxn modelId="{056D70E4-DEE2-43FA-9740-24CF1E21B2BA}" type="presParOf" srcId="{581950B6-125B-4D15-9693-A3DC040B5828}" destId="{13B5936E-C15B-435B-9A90-C2DB3BA96126}" srcOrd="1" destOrd="0" presId="urn:microsoft.com/office/officeart/2005/8/layout/hierarchy1"/>
    <dgm:cxn modelId="{ECBB28A8-761E-49E3-8371-8231B9CED7BE}" type="presParOf" srcId="{46D4C5AB-AC74-44CE-B48B-94AFA6C408C8}" destId="{7C2E674F-7F89-4C93-A9D9-C204E3755C4C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A439A48-DAF4-4545-9890-4A65755A8A08}">
      <dsp:nvSpPr>
        <dsp:cNvPr id="0" name=""/>
        <dsp:cNvSpPr/>
      </dsp:nvSpPr>
      <dsp:spPr>
        <a:xfrm>
          <a:off x="11673758" y="3403793"/>
          <a:ext cx="91440" cy="351741"/>
        </a:xfrm>
        <a:custGeom>
          <a:avLst/>
          <a:gdLst/>
          <a:ahLst/>
          <a:cxnLst/>
          <a:rect l="0" t="0" r="0" b="0"/>
          <a:pathLst>
            <a:path>
              <a:moveTo>
                <a:pt x="71310" y="0"/>
              </a:moveTo>
              <a:lnTo>
                <a:pt x="71310" y="55406"/>
              </a:lnTo>
              <a:lnTo>
                <a:pt x="45720" y="55406"/>
              </a:lnTo>
              <a:lnTo>
                <a:pt x="45720" y="35174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6AF5D4E-2B9E-4D13-9F15-32C05E5D95DA}">
      <dsp:nvSpPr>
        <dsp:cNvPr id="0" name=""/>
        <dsp:cNvSpPr/>
      </dsp:nvSpPr>
      <dsp:spPr>
        <a:xfrm>
          <a:off x="6904491" y="779573"/>
          <a:ext cx="4840577" cy="208268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86354"/>
              </a:lnTo>
              <a:lnTo>
                <a:pt x="4840577" y="1786354"/>
              </a:lnTo>
              <a:lnTo>
                <a:pt x="4840577" y="208268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085618A-A041-44F2-92AE-8693C192D4D2}">
      <dsp:nvSpPr>
        <dsp:cNvPr id="0" name=""/>
        <dsp:cNvSpPr/>
      </dsp:nvSpPr>
      <dsp:spPr>
        <a:xfrm>
          <a:off x="8196191" y="3449496"/>
          <a:ext cx="91440" cy="610034"/>
        </a:xfrm>
        <a:custGeom>
          <a:avLst/>
          <a:gdLst/>
          <a:ahLst/>
          <a:cxnLst/>
          <a:rect l="0" t="0" r="0" b="0"/>
          <a:pathLst>
            <a:path>
              <a:moveTo>
                <a:pt x="101635" y="0"/>
              </a:moveTo>
              <a:lnTo>
                <a:pt x="101635" y="313700"/>
              </a:lnTo>
              <a:lnTo>
                <a:pt x="45720" y="313700"/>
              </a:lnTo>
              <a:lnTo>
                <a:pt x="45720" y="61003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DBD69DE-3205-4A26-950C-DC85F31D726C}">
      <dsp:nvSpPr>
        <dsp:cNvPr id="0" name=""/>
        <dsp:cNvSpPr/>
      </dsp:nvSpPr>
      <dsp:spPr>
        <a:xfrm>
          <a:off x="6904491" y="779573"/>
          <a:ext cx="1393335" cy="209014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93809"/>
              </a:lnTo>
              <a:lnTo>
                <a:pt x="1393335" y="1793809"/>
              </a:lnTo>
              <a:lnTo>
                <a:pt x="1393335" y="2090144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43D08DB-0272-4A2A-B393-B87CEDB4124F}">
      <dsp:nvSpPr>
        <dsp:cNvPr id="0" name=""/>
        <dsp:cNvSpPr/>
      </dsp:nvSpPr>
      <dsp:spPr>
        <a:xfrm>
          <a:off x="4464503" y="3435663"/>
          <a:ext cx="119347" cy="56626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69926"/>
              </a:lnTo>
              <a:lnTo>
                <a:pt x="119347" y="269926"/>
              </a:lnTo>
              <a:lnTo>
                <a:pt x="119347" y="56626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C427947-512B-438A-B3FF-A4BED7AD87C7}">
      <dsp:nvSpPr>
        <dsp:cNvPr id="0" name=""/>
        <dsp:cNvSpPr/>
      </dsp:nvSpPr>
      <dsp:spPr>
        <a:xfrm>
          <a:off x="4464503" y="779573"/>
          <a:ext cx="2439987" cy="2090144"/>
        </a:xfrm>
        <a:custGeom>
          <a:avLst/>
          <a:gdLst/>
          <a:ahLst/>
          <a:cxnLst/>
          <a:rect l="0" t="0" r="0" b="0"/>
          <a:pathLst>
            <a:path>
              <a:moveTo>
                <a:pt x="2439987" y="0"/>
              </a:moveTo>
              <a:lnTo>
                <a:pt x="2439987" y="1793809"/>
              </a:lnTo>
              <a:lnTo>
                <a:pt x="0" y="1793809"/>
              </a:lnTo>
              <a:lnTo>
                <a:pt x="0" y="2090144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43EE829-FB9B-4964-A440-B13AF2E61BE2}">
      <dsp:nvSpPr>
        <dsp:cNvPr id="0" name=""/>
        <dsp:cNvSpPr/>
      </dsp:nvSpPr>
      <dsp:spPr>
        <a:xfrm>
          <a:off x="1058613" y="3431418"/>
          <a:ext cx="91440" cy="61746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21134"/>
              </a:lnTo>
              <a:lnTo>
                <a:pt x="82954" y="321134"/>
              </a:lnTo>
              <a:lnTo>
                <a:pt x="82954" y="61746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ADA2A19-D6C0-47E4-B929-E037B1D2E870}">
      <dsp:nvSpPr>
        <dsp:cNvPr id="0" name=""/>
        <dsp:cNvSpPr/>
      </dsp:nvSpPr>
      <dsp:spPr>
        <a:xfrm>
          <a:off x="1104333" y="779573"/>
          <a:ext cx="5800157" cy="2090144"/>
        </a:xfrm>
        <a:custGeom>
          <a:avLst/>
          <a:gdLst/>
          <a:ahLst/>
          <a:cxnLst/>
          <a:rect l="0" t="0" r="0" b="0"/>
          <a:pathLst>
            <a:path>
              <a:moveTo>
                <a:pt x="5800157" y="0"/>
              </a:moveTo>
              <a:lnTo>
                <a:pt x="5800157" y="1793809"/>
              </a:lnTo>
              <a:lnTo>
                <a:pt x="0" y="1793809"/>
              </a:lnTo>
              <a:lnTo>
                <a:pt x="0" y="2090144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B0626AF-3B1F-4E07-906D-718D97272F60}">
      <dsp:nvSpPr>
        <dsp:cNvPr id="0" name=""/>
        <dsp:cNvSpPr/>
      </dsp:nvSpPr>
      <dsp:spPr>
        <a:xfrm>
          <a:off x="5366117" y="21979"/>
          <a:ext cx="3076748" cy="75759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612D5E3-3D9E-45C0-9295-81648B85C2ED}">
      <dsp:nvSpPr>
        <dsp:cNvPr id="0" name=""/>
        <dsp:cNvSpPr/>
      </dsp:nvSpPr>
      <dsp:spPr>
        <a:xfrm>
          <a:off x="5721541" y="359631"/>
          <a:ext cx="3076748" cy="75759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200" b="1" kern="1200">
              <a:latin typeface="Times New Roman" pitchFamily="18" charset="0"/>
              <a:cs typeface="Times New Roman" pitchFamily="18" charset="0"/>
            </a:rPr>
            <a:t>Yıkım Sonrasında Kat Mülkiyetine Geçiş</a:t>
          </a:r>
        </a:p>
      </dsp:txBody>
      <dsp:txXfrm>
        <a:off x="5743730" y="381820"/>
        <a:ext cx="3032370" cy="713216"/>
      </dsp:txXfrm>
    </dsp:sp>
    <dsp:sp modelId="{DB9EAC05-D3B4-4AC9-9C96-A7998C8AD276}">
      <dsp:nvSpPr>
        <dsp:cNvPr id="0" name=""/>
        <dsp:cNvSpPr/>
      </dsp:nvSpPr>
      <dsp:spPr>
        <a:xfrm>
          <a:off x="353187" y="2869717"/>
          <a:ext cx="1502291" cy="56170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0E1FC2A-5365-46C3-B468-DDAE32676248}">
      <dsp:nvSpPr>
        <dsp:cNvPr id="0" name=""/>
        <dsp:cNvSpPr/>
      </dsp:nvSpPr>
      <dsp:spPr>
        <a:xfrm>
          <a:off x="708611" y="3207370"/>
          <a:ext cx="1502291" cy="56170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800" b="1" kern="1200">
              <a:latin typeface="Times New Roman" pitchFamily="18" charset="0"/>
              <a:cs typeface="Times New Roman" pitchFamily="18" charset="0"/>
            </a:rPr>
            <a:t>I. SÜREÇ</a:t>
          </a:r>
        </a:p>
      </dsp:txBody>
      <dsp:txXfrm>
        <a:off x="725063" y="3223822"/>
        <a:ext cx="1469387" cy="528796"/>
      </dsp:txXfrm>
    </dsp:sp>
    <dsp:sp modelId="{2FBF11D0-43EC-4117-BB27-1BC27268D9E5}">
      <dsp:nvSpPr>
        <dsp:cNvPr id="0" name=""/>
        <dsp:cNvSpPr/>
      </dsp:nvSpPr>
      <dsp:spPr>
        <a:xfrm>
          <a:off x="44661" y="4048887"/>
          <a:ext cx="2193811" cy="94398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B9478C5-4F39-4102-B725-01B35BBB70AF}">
      <dsp:nvSpPr>
        <dsp:cNvPr id="0" name=""/>
        <dsp:cNvSpPr/>
      </dsp:nvSpPr>
      <dsp:spPr>
        <a:xfrm>
          <a:off x="400085" y="4386540"/>
          <a:ext cx="2193811" cy="94398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itchFamily="18" charset="0"/>
              <a:cs typeface="Times New Roman" pitchFamily="18" charset="0"/>
            </a:rPr>
            <a:t>Riskli yapı tespiti  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900" kern="1200">
              <a:latin typeface="Times New Roman" pitchFamily="18" charset="0"/>
              <a:cs typeface="Times New Roman" pitchFamily="18" charset="0"/>
            </a:rPr>
            <a:t>MK m.731 taşınmaz mülkiyetinin kanundan doğan kısıtlaması-Bir tek kat mailiki dahi isteyebilir. </a:t>
          </a:r>
        </a:p>
      </dsp:txBody>
      <dsp:txXfrm>
        <a:off x="427733" y="4414188"/>
        <a:ext cx="2138515" cy="888685"/>
      </dsp:txXfrm>
    </dsp:sp>
    <dsp:sp modelId="{35043FDA-DDFA-4CB0-9E53-33312D1439F6}">
      <dsp:nvSpPr>
        <dsp:cNvPr id="0" name=""/>
        <dsp:cNvSpPr/>
      </dsp:nvSpPr>
      <dsp:spPr>
        <a:xfrm>
          <a:off x="3620112" y="2869717"/>
          <a:ext cx="1688782" cy="56594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615D15E-2190-48A3-8104-3FCCD9DA33B7}">
      <dsp:nvSpPr>
        <dsp:cNvPr id="0" name=""/>
        <dsp:cNvSpPr/>
      </dsp:nvSpPr>
      <dsp:spPr>
        <a:xfrm>
          <a:off x="3975536" y="3207370"/>
          <a:ext cx="1688782" cy="56594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800" b="1" kern="1200">
              <a:latin typeface="Times New Roman" pitchFamily="18" charset="0"/>
              <a:cs typeface="Times New Roman" pitchFamily="18" charset="0"/>
            </a:rPr>
            <a:t>II. SÜREÇ</a:t>
          </a:r>
        </a:p>
      </dsp:txBody>
      <dsp:txXfrm>
        <a:off x="3992112" y="3223946"/>
        <a:ext cx="1655630" cy="532794"/>
      </dsp:txXfrm>
    </dsp:sp>
    <dsp:sp modelId="{3585C500-B20A-44DA-8DDD-4682036F0DEB}">
      <dsp:nvSpPr>
        <dsp:cNvPr id="0" name=""/>
        <dsp:cNvSpPr/>
      </dsp:nvSpPr>
      <dsp:spPr>
        <a:xfrm>
          <a:off x="2994200" y="4001925"/>
          <a:ext cx="3179302" cy="249678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173A69F-0047-4C34-933B-80CDA60B2808}">
      <dsp:nvSpPr>
        <dsp:cNvPr id="0" name=""/>
        <dsp:cNvSpPr/>
      </dsp:nvSpPr>
      <dsp:spPr>
        <a:xfrm>
          <a:off x="3349624" y="4339577"/>
          <a:ext cx="3179302" cy="249678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itchFamily="18" charset="0"/>
              <a:cs typeface="Times New Roman" pitchFamily="18" charset="0"/>
            </a:rPr>
            <a:t>Yıkım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200" b="1" kern="1200">
              <a:latin typeface="Times New Roman" pitchFamily="18" charset="0"/>
              <a:cs typeface="Times New Roman" pitchFamily="18" charset="0"/>
            </a:rPr>
            <a:t>  •</a:t>
          </a:r>
          <a:r>
            <a:rPr lang="tr-TR" sz="900" b="0" kern="1200">
              <a:latin typeface="Times New Roman" pitchFamily="18" charset="0"/>
              <a:cs typeface="Times New Roman" pitchFamily="18" charset="0"/>
            </a:rPr>
            <a:t>KMK 46 ve 47inci madde hükmünce kat mülkiyeti sona erer. 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900" b="1" kern="1200">
              <a:latin typeface="Times New Roman" pitchFamily="18" charset="0"/>
              <a:cs typeface="Times New Roman" pitchFamily="18" charset="0"/>
            </a:rPr>
            <a:t>•</a:t>
          </a:r>
          <a:r>
            <a:rPr lang="tr-TR" sz="900" b="0" kern="1200">
              <a:latin typeface="Times New Roman" pitchFamily="18" charset="0"/>
              <a:cs typeface="Times New Roman" pitchFamily="18" charset="0"/>
            </a:rPr>
            <a:t>Bakanlığın talebi ve İdare re'sen terkin  eder. (6306 sy. kan. 6/f.1)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900" b="1" kern="1200">
              <a:latin typeface="Times New Roman" pitchFamily="18" charset="0"/>
              <a:cs typeface="Times New Roman" pitchFamily="18" charset="0"/>
            </a:rPr>
            <a:t>•</a:t>
          </a:r>
          <a:r>
            <a:rPr lang="tr-TR" sz="900" b="0" kern="1200">
              <a:latin typeface="Times New Roman" pitchFamily="18" charset="0"/>
              <a:cs typeface="Times New Roman" pitchFamily="18" charset="0"/>
            </a:rPr>
            <a:t>KMK 48/II, MK m. 688 vd. paylı mülkiyete dönüş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900" b="1" kern="1200">
              <a:latin typeface="Times New Roman" pitchFamily="18" charset="0"/>
              <a:cs typeface="Times New Roman" pitchFamily="18" charset="0"/>
            </a:rPr>
            <a:t>•</a:t>
          </a:r>
          <a:r>
            <a:rPr lang="tr-TR" sz="900" b="0" kern="1200">
              <a:latin typeface="Times New Roman" pitchFamily="18" charset="0"/>
              <a:cs typeface="Times New Roman" pitchFamily="18" charset="0"/>
            </a:rPr>
            <a:t>KMK esaslarınca yıkım sonrası yıkılan bağımsız bölümün niteliği ve konusunda oluşan paylı mülkiyette MK 692 hükmünce oybirliği ile özgülediği amaç değiştirilebilir. </a:t>
          </a:r>
          <a:endParaRPr lang="tr-TR" sz="900" b="1" kern="1200">
            <a:latin typeface="Times New Roman" pitchFamily="18" charset="0"/>
            <a:cs typeface="Times New Roman" pitchFamily="18" charset="0"/>
          </a:endParaRP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900" b="1" kern="1200">
              <a:latin typeface="Times New Roman" pitchFamily="18" charset="0"/>
              <a:cs typeface="Times New Roman" pitchFamily="18" charset="0"/>
            </a:rPr>
            <a:t>•</a:t>
          </a:r>
          <a:r>
            <a:rPr lang="tr-TR" sz="900" b="0" kern="1200">
              <a:latin typeface="Times New Roman" pitchFamily="18" charset="0"/>
              <a:cs typeface="Times New Roman" pitchFamily="18" charset="0"/>
            </a:rPr>
            <a:t>Arsa payı paylı mülkiyet oranını belirler</a:t>
          </a:r>
          <a:r>
            <a:rPr lang="tr-TR" sz="900" b="1" kern="1200">
              <a:latin typeface="Times New Roman" pitchFamily="18" charset="0"/>
              <a:cs typeface="Times New Roman" pitchFamily="18" charset="0"/>
            </a:rPr>
            <a:t>. 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900" b="1" kern="1200">
              <a:latin typeface="Times New Roman" pitchFamily="18" charset="0"/>
              <a:cs typeface="Times New Roman" pitchFamily="18" charset="0"/>
            </a:rPr>
            <a:t>•</a:t>
          </a:r>
          <a:r>
            <a:rPr lang="tr-TR" sz="900" b="0" kern="1200">
              <a:latin typeface="Times New Roman" pitchFamily="18" charset="0"/>
              <a:cs typeface="Times New Roman" pitchFamily="18" charset="0"/>
            </a:rPr>
            <a:t>Bu aşamadan sonra arsa payının düzeltilmesi davası (KMK m.3) konusuz kalır.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900" b="1" kern="1200">
              <a:latin typeface="Times New Roman" pitchFamily="18" charset="0"/>
              <a:cs typeface="Times New Roman" pitchFamily="18" charset="0"/>
            </a:rPr>
            <a:t>•</a:t>
          </a:r>
          <a:r>
            <a:rPr lang="tr-TR" sz="900" b="0" kern="1200">
              <a:latin typeface="Times New Roman" pitchFamily="18" charset="0"/>
              <a:cs typeface="Times New Roman" pitchFamily="18" charset="0"/>
            </a:rPr>
            <a:t> Bu yasanın yürülüğe girmesinden sonra ve Yıkımdan önce bu yasaya bağlı beklenti ile önce açılanlar hakkın kötüye kullanılması (MK m.2) niteliğindedir. </a:t>
          </a:r>
        </a:p>
      </dsp:txBody>
      <dsp:txXfrm>
        <a:off x="3422752" y="4412705"/>
        <a:ext cx="3033046" cy="2350533"/>
      </dsp:txXfrm>
    </dsp:sp>
    <dsp:sp modelId="{36B5A9D8-248D-4CD5-A092-99D2EC43ECF2}">
      <dsp:nvSpPr>
        <dsp:cNvPr id="0" name=""/>
        <dsp:cNvSpPr/>
      </dsp:nvSpPr>
      <dsp:spPr>
        <a:xfrm>
          <a:off x="7419720" y="2869717"/>
          <a:ext cx="1756213" cy="57977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782D336-A5AB-404E-B3A6-D7B096D48016}">
      <dsp:nvSpPr>
        <dsp:cNvPr id="0" name=""/>
        <dsp:cNvSpPr/>
      </dsp:nvSpPr>
      <dsp:spPr>
        <a:xfrm>
          <a:off x="7775143" y="3207370"/>
          <a:ext cx="1756213" cy="57977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800" b="1" kern="1200">
              <a:latin typeface="Times New Roman" pitchFamily="18" charset="0"/>
              <a:cs typeface="Times New Roman" pitchFamily="18" charset="0"/>
            </a:rPr>
            <a:t>III.SÜREÇ</a:t>
          </a:r>
        </a:p>
      </dsp:txBody>
      <dsp:txXfrm>
        <a:off x="7792124" y="3224351"/>
        <a:ext cx="1722251" cy="545816"/>
      </dsp:txXfrm>
    </dsp:sp>
    <dsp:sp modelId="{BF57F307-4331-4B49-ADC9-3546A99E61E0}">
      <dsp:nvSpPr>
        <dsp:cNvPr id="0" name=""/>
        <dsp:cNvSpPr/>
      </dsp:nvSpPr>
      <dsp:spPr>
        <a:xfrm>
          <a:off x="6746321" y="4059531"/>
          <a:ext cx="2991179" cy="243579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344D82D-7FC3-420E-AC29-B5F95C24DD58}">
      <dsp:nvSpPr>
        <dsp:cNvPr id="0" name=""/>
        <dsp:cNvSpPr/>
      </dsp:nvSpPr>
      <dsp:spPr>
        <a:xfrm>
          <a:off x="7101745" y="4397184"/>
          <a:ext cx="2991179" cy="243579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itchFamily="18" charset="0"/>
              <a:cs typeface="Times New Roman" pitchFamily="18" charset="0"/>
            </a:rPr>
            <a:t>Paylı mülkiyet birliğinde  kararlar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900" b="0" kern="1200">
              <a:latin typeface="Times New Roman" pitchFamily="18" charset="0"/>
              <a:cs typeface="Times New Roman" pitchFamily="18" charset="0"/>
            </a:rPr>
            <a:t>•MK m. 692  hükmü geçerlidir. Çünkü imar mevzuatı uygulamasında, inşaat izni alınması kat irtifakı ve kat mülkiyetinin yeniden kurulması oybirliğini gerekli kılar. 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900" b="0" kern="1200">
              <a:latin typeface="Times New Roman" pitchFamily="18" charset="0"/>
              <a:cs typeface="Times New Roman" pitchFamily="18" charset="0"/>
            </a:rPr>
            <a:t>•Kat malikleri KMK ek-4 hükmünce 4/5 çoğunluğu oluşturmaları halinde 6306 kapsamından çıkarlar.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900" b="0" kern="1200">
              <a:latin typeface="Times New Roman" pitchFamily="18" charset="0"/>
              <a:cs typeface="Times New Roman" pitchFamily="18" charset="0"/>
            </a:rPr>
            <a:t>•2/3 çoğunluğun karar alması halinde 6306 sayılı kanun uyarınca geçerli anlaşma sayılarak  "kat malikleri değerlendirilmesi esastır" (6306 sy.  kan. 6/I) kuralı yerine getirilmiş sayılır. 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900" b="0" kern="1200">
              <a:latin typeface="Times New Roman" pitchFamily="18" charset="0"/>
              <a:cs typeface="Times New Roman" pitchFamily="18" charset="0"/>
            </a:rPr>
            <a:t>-1/3 pay oranını  isteğe bağlı açık artırma niteliği uyarınca, kat malikleri tarafından edinilmeyecek olursa İdarece edinim zorunludur. İdarenin anlaşmaya uymasının (6306 sy.  kan. 6/I) dayalı olarak doğmuş olması sonucu MK m. 692 hükmünce oybirliğinin sağlanmasının önü açılmış olacaktır. </a:t>
          </a:r>
        </a:p>
      </dsp:txBody>
      <dsp:txXfrm>
        <a:off x="7173087" y="4468526"/>
        <a:ext cx="2848495" cy="2293106"/>
      </dsp:txXfrm>
    </dsp:sp>
    <dsp:sp modelId="{25F398B0-1350-4310-8A5E-9EC4A1B0CEEB}">
      <dsp:nvSpPr>
        <dsp:cNvPr id="0" name=""/>
        <dsp:cNvSpPr/>
      </dsp:nvSpPr>
      <dsp:spPr>
        <a:xfrm>
          <a:off x="10867569" y="2862262"/>
          <a:ext cx="1754997" cy="54153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A8B308A-07EB-453C-8CD7-B791B8BA2F01}">
      <dsp:nvSpPr>
        <dsp:cNvPr id="0" name=""/>
        <dsp:cNvSpPr/>
      </dsp:nvSpPr>
      <dsp:spPr>
        <a:xfrm>
          <a:off x="11222993" y="3199915"/>
          <a:ext cx="1754997" cy="54153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800" b="1" kern="1200">
              <a:latin typeface="Times New Roman" pitchFamily="18" charset="0"/>
              <a:cs typeface="Times New Roman" pitchFamily="18" charset="0"/>
            </a:rPr>
            <a:t>IV-SÜREÇ</a:t>
          </a:r>
        </a:p>
      </dsp:txBody>
      <dsp:txXfrm>
        <a:off x="11238854" y="3215776"/>
        <a:ext cx="1723275" cy="509808"/>
      </dsp:txXfrm>
    </dsp:sp>
    <dsp:sp modelId="{498EC529-B17B-4182-B610-E33C58463160}">
      <dsp:nvSpPr>
        <dsp:cNvPr id="0" name=""/>
        <dsp:cNvSpPr/>
      </dsp:nvSpPr>
      <dsp:spPr>
        <a:xfrm>
          <a:off x="10180736" y="3755534"/>
          <a:ext cx="3077483" cy="368683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3B5936E-C15B-435B-9A90-C2DB3BA96126}">
      <dsp:nvSpPr>
        <dsp:cNvPr id="0" name=""/>
        <dsp:cNvSpPr/>
      </dsp:nvSpPr>
      <dsp:spPr>
        <a:xfrm>
          <a:off x="10536160" y="4093187"/>
          <a:ext cx="3077483" cy="368683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800" b="1" kern="1200">
            <a:latin typeface="Times New Roman" pitchFamily="18" charset="0"/>
            <a:cs typeface="Times New Roman" pitchFamily="18" charset="0"/>
          </a:endParaRP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800" b="1" kern="1200">
            <a:latin typeface="Times New Roman" pitchFamily="18" charset="0"/>
            <a:cs typeface="Times New Roman" pitchFamily="18" charset="0"/>
          </a:endParaRP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800" b="1" kern="1200">
            <a:latin typeface="Times New Roman" pitchFamily="18" charset="0"/>
            <a:cs typeface="Times New Roman" pitchFamily="18" charset="0"/>
          </a:endParaRP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800" b="1" kern="1200">
            <a:latin typeface="Times New Roman" pitchFamily="18" charset="0"/>
            <a:cs typeface="Times New Roman" pitchFamily="18" charset="0"/>
          </a:endParaRP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800" b="1" kern="1200">
            <a:latin typeface="Times New Roman" pitchFamily="18" charset="0"/>
            <a:cs typeface="Times New Roman" pitchFamily="18" charset="0"/>
          </a:endParaRP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itchFamily="18" charset="0"/>
              <a:cs typeface="Times New Roman" pitchFamily="18" charset="0"/>
            </a:rPr>
            <a:t> 2/3 çoğunluğun sağlanması sonucu yapılanma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900" b="0" kern="1200">
              <a:latin typeface="Times New Roman" pitchFamily="18" charset="0"/>
              <a:cs typeface="Times New Roman" pitchFamily="18" charset="0"/>
            </a:rPr>
            <a:t>•MK,KMK ve İmar mevzuatı hükümleri uyarınca her aşamada oybirliğinin sağlanması gerekir. Çünkü 6306 sayılı kanun 2/3 çoğunluğun aldığı karara her aşamada bağlılık hükmü getirmemiştir. </a:t>
          </a:r>
          <a:endParaRPr lang="tr-TR" sz="900" b="1" kern="1200">
            <a:latin typeface="Times New Roman" pitchFamily="18" charset="0"/>
            <a:cs typeface="Times New Roman" pitchFamily="18" charset="0"/>
          </a:endParaRP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900" b="1" kern="1200">
              <a:latin typeface="Times New Roman" pitchFamily="18" charset="0"/>
              <a:cs typeface="Times New Roman" pitchFamily="18" charset="0"/>
            </a:rPr>
            <a:t>•</a:t>
          </a:r>
          <a:r>
            <a:rPr lang="tr-TR" sz="900" b="0" kern="1200">
              <a:latin typeface="Times New Roman" pitchFamily="18" charset="0"/>
              <a:cs typeface="Times New Roman" pitchFamily="18" charset="0"/>
            </a:rPr>
            <a:t>Bu sonuçla 2/3 çoğunluk her zaman (KMK ek-4 hükmü paralel) karar alarak bir sonraki aşamaya geçilmesine engel olan 1/3 'ün açık artırma ile payını edinebilmelidir. </a:t>
          </a:r>
          <a:endParaRPr lang="tr-TR" sz="900" b="1" kern="1200">
            <a:latin typeface="Times New Roman" pitchFamily="18" charset="0"/>
            <a:cs typeface="Times New Roman" pitchFamily="18" charset="0"/>
          </a:endParaRP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900" b="1" kern="1200">
              <a:latin typeface="Times New Roman" pitchFamily="18" charset="0"/>
              <a:cs typeface="Times New Roman" pitchFamily="18" charset="0"/>
            </a:rPr>
            <a:t>•</a:t>
          </a:r>
          <a:r>
            <a:rPr lang="tr-TR" sz="900" b="0" kern="1200">
              <a:latin typeface="Times New Roman" pitchFamily="18" charset="0"/>
              <a:cs typeface="Times New Roman" pitchFamily="18" charset="0"/>
            </a:rPr>
            <a:t>Paydaşlar 2/3 ile mimari proje, inşaat sözleşmesi (arsa payı karşılığı inşaat) yaptıkları anlaşmalar ile karara katılmayan paydaşların açık artırma ile edinmeleri sonucu oybirliğini sağlayarak yeniden yapılanma sağlayabilirler. 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900" kern="1200">
              <a:latin typeface="Times New Roman" pitchFamily="18" charset="0"/>
              <a:cs typeface="Times New Roman" pitchFamily="18" charset="0"/>
            </a:rPr>
            <a:t>•Arsa payı karşılığı inşaat sözleşmesi her bir paydaş ile ayrı ayrı taahhüt muamelesi (borçlandırıcı işlem) niteliğinde imzalanabilir.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900" kern="1200">
              <a:latin typeface="Times New Roman" pitchFamily="18" charset="0"/>
              <a:cs typeface="Times New Roman" pitchFamily="18" charset="0"/>
            </a:rPr>
            <a:t>•Bu sayı 2/3 çoğunluğa ulaşması halinde “kat malikleri tarafından değerlendirme” olgusu gerçekleşmiş  sayılacaktır. 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900" kern="1200">
              <a:latin typeface="Times New Roman" pitchFamily="18" charset="0"/>
              <a:cs typeface="Times New Roman" pitchFamily="18" charset="0"/>
            </a:rPr>
            <a:t>•Arsa payı karşılığı inşaat sözleşmelerinin 2/3 çoğunluğun elde edilmesi halinde bağlayıcılığı taliki (gecikme) koşul olarak sağlanabilecektir. 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900" kern="1200">
              <a:latin typeface="Times New Roman" pitchFamily="18" charset="0"/>
              <a:cs typeface="Times New Roman" pitchFamily="18" charset="0"/>
            </a:rPr>
            <a:t>•Açık artırmada 1/3 payın tümü ile halihazır paydaşlarca edinilmediği takdirde idarece edinme sonucu kanunen eşyaya bağlı borç niteliği ile kat maliklerinin anlaşması ile bağlılık söz konusudur. </a:t>
          </a:r>
          <a:endParaRPr lang="tr-TR" sz="900" b="1" kern="1200">
            <a:latin typeface="Times New Roman" pitchFamily="18" charset="0"/>
            <a:cs typeface="Times New Roman" pitchFamily="18" charset="0"/>
          </a:endParaRP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800" kern="1200">
              <a:latin typeface="Times New Roman" pitchFamily="18" charset="0"/>
              <a:cs typeface="Times New Roman" pitchFamily="18" charset="0"/>
            </a:rPr>
            <a:t/>
          </a:r>
          <a:br>
            <a:rPr lang="tr-TR" sz="800" kern="1200">
              <a:latin typeface="Times New Roman" pitchFamily="18" charset="0"/>
              <a:cs typeface="Times New Roman" pitchFamily="18" charset="0"/>
            </a:rPr>
          </a:br>
          <a:endParaRPr lang="tr-TR" sz="800" b="1" kern="1200">
            <a:latin typeface="Times New Roman" pitchFamily="18" charset="0"/>
            <a:cs typeface="Times New Roman" pitchFamily="18" charset="0"/>
          </a:endParaRP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800" kern="1200">
              <a:latin typeface="Times New Roman" pitchFamily="18" charset="0"/>
              <a:cs typeface="Times New Roman" pitchFamily="18" charset="0"/>
            </a:rPr>
            <a:t/>
          </a:r>
          <a:br>
            <a:rPr lang="tr-TR" sz="800" kern="1200">
              <a:latin typeface="Times New Roman" pitchFamily="18" charset="0"/>
              <a:cs typeface="Times New Roman" pitchFamily="18" charset="0"/>
            </a:rPr>
          </a:br>
          <a:endParaRPr lang="tr-TR" sz="800" b="1" kern="1200">
            <a:latin typeface="Times New Roman" pitchFamily="18" charset="0"/>
            <a:cs typeface="Times New Roman" pitchFamily="18" charset="0"/>
          </a:endParaRP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800" kern="1200">
              <a:latin typeface="Times New Roman" pitchFamily="18" charset="0"/>
              <a:cs typeface="Times New Roman" pitchFamily="18" charset="0"/>
            </a:rPr>
            <a:t/>
          </a:r>
          <a:br>
            <a:rPr lang="tr-TR" sz="800" kern="1200">
              <a:latin typeface="Times New Roman" pitchFamily="18" charset="0"/>
              <a:cs typeface="Times New Roman" pitchFamily="18" charset="0"/>
            </a:rPr>
          </a:br>
          <a:r>
            <a:rPr lang="tr-TR" sz="800" kern="1200">
              <a:latin typeface="Times New Roman" pitchFamily="18" charset="0"/>
              <a:cs typeface="Times New Roman" pitchFamily="18" charset="0"/>
            </a:rPr>
            <a:t/>
          </a:r>
          <a:br>
            <a:rPr lang="tr-TR" sz="800" kern="1200">
              <a:latin typeface="Times New Roman" pitchFamily="18" charset="0"/>
              <a:cs typeface="Times New Roman" pitchFamily="18" charset="0"/>
            </a:rPr>
          </a:br>
          <a:endParaRPr lang="tr-TR" sz="800" b="1" kern="1200">
            <a:latin typeface="Times New Roman" pitchFamily="18" charset="0"/>
            <a:cs typeface="Times New Roman" pitchFamily="18" charset="0"/>
          </a:endParaRPr>
        </a:p>
      </dsp:txBody>
      <dsp:txXfrm>
        <a:off x="10626296" y="4183323"/>
        <a:ext cx="2897211" cy="350656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23C8A4-BD2F-4F57-9CD0-A8DCCFB38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STAJYER5</cp:lastModifiedBy>
  <cp:revision>6</cp:revision>
  <cp:lastPrinted>2013-01-11T13:26:00Z</cp:lastPrinted>
  <dcterms:created xsi:type="dcterms:W3CDTF">2013-01-11T13:26:00Z</dcterms:created>
  <dcterms:modified xsi:type="dcterms:W3CDTF">2015-02-03T07:56:00Z</dcterms:modified>
</cp:coreProperties>
</file>